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7A3" w14:textId="77777777" w:rsidR="00B20C0A" w:rsidRPr="00B20C0A" w:rsidRDefault="00B20C0A" w:rsidP="00B20C0A">
      <w:pPr>
        <w:pageBreakBefore/>
        <w:tabs>
          <w:tab w:val="left" w:pos="864"/>
          <w:tab w:val="left" w:pos="1728"/>
          <w:tab w:val="left" w:pos="2592"/>
          <w:tab w:val="left" w:pos="3456"/>
        </w:tabs>
        <w:jc w:val="center"/>
        <w:rPr>
          <w:rFonts w:asciiTheme="majorHAnsi" w:hAnsiTheme="majorHAnsi" w:cstheme="majorHAnsi"/>
          <w:b/>
          <w:sz w:val="28"/>
        </w:rPr>
      </w:pPr>
      <w:r w:rsidRPr="00B20C0A">
        <w:rPr>
          <w:rFonts w:asciiTheme="majorHAnsi" w:hAnsiTheme="majorHAnsi" w:cstheme="majorHAnsi"/>
          <w:b/>
          <w:sz w:val="28"/>
        </w:rPr>
        <w:t>Regulatory Forms</w:t>
      </w:r>
      <w:r w:rsidRPr="00B20C0A">
        <w:rPr>
          <w:rFonts w:asciiTheme="majorHAnsi" w:hAnsiTheme="majorHAnsi" w:cstheme="majorHAnsi"/>
          <w:b/>
          <w:sz w:val="28"/>
        </w:rPr>
        <w:br/>
      </w:r>
      <w:r w:rsidRPr="00B20C0A">
        <w:rPr>
          <w:rFonts w:asciiTheme="majorHAnsi" w:hAnsiTheme="majorHAnsi" w:cstheme="majorHAnsi"/>
          <w:b/>
          <w:sz w:val="28"/>
        </w:rPr>
        <w:br/>
      </w:r>
      <w:r w:rsidRPr="00B20C0A">
        <w:rPr>
          <w:rFonts w:asciiTheme="majorHAnsi" w:hAnsiTheme="majorHAnsi" w:cstheme="majorHAnsi"/>
          <w:b/>
          <w:sz w:val="24"/>
          <w:szCs w:val="24"/>
        </w:rPr>
        <w:t>Form G</w:t>
      </w:r>
    </w:p>
    <w:p w14:paraId="52CFB8A6" w14:textId="77777777" w:rsidR="00B20C0A" w:rsidRPr="00B20C0A" w:rsidRDefault="00B20C0A" w:rsidP="00B20C0A">
      <w:pPr>
        <w:jc w:val="center"/>
        <w:rPr>
          <w:b/>
          <w:lang w:val="en-US" w:eastAsia="zh-TW" w:bidi="zh-TW"/>
        </w:rPr>
      </w:pPr>
      <w:r w:rsidRPr="00B20C0A">
        <w:rPr>
          <w:b/>
          <w:lang w:val="en-US" w:eastAsia="zh-TW" w:bidi="zh-TW"/>
        </w:rPr>
        <w:t xml:space="preserve">Formal Application </w:t>
      </w:r>
      <w:r w:rsidRPr="00B20C0A">
        <w:rPr>
          <w:b/>
          <w:lang w:val="en-US" w:eastAsia="zh-TW" w:bidi="zh-TW"/>
        </w:rPr>
        <w:br/>
        <w:t xml:space="preserve">for </w:t>
      </w:r>
      <w:r w:rsidRPr="00B20C0A">
        <w:rPr>
          <w:b/>
          <w:spacing w:val="-7"/>
          <w:lang w:val="en-US" w:eastAsia="zh-TW" w:bidi="zh-TW"/>
        </w:rPr>
        <w:t xml:space="preserve">Transfer </w:t>
      </w:r>
      <w:r w:rsidRPr="00B20C0A">
        <w:rPr>
          <w:b/>
          <w:lang w:val="en-US" w:eastAsia="zh-TW" w:bidi="zh-TW"/>
        </w:rPr>
        <w:t xml:space="preserve">of Listing of Equity </w:t>
      </w:r>
      <w:r w:rsidRPr="00B20C0A">
        <w:rPr>
          <w:b/>
          <w:spacing w:val="-3"/>
          <w:lang w:val="en-US" w:eastAsia="zh-TW" w:bidi="zh-TW"/>
        </w:rPr>
        <w:t xml:space="preserve">Securities </w:t>
      </w:r>
      <w:r w:rsidRPr="00B20C0A">
        <w:rPr>
          <w:b/>
          <w:spacing w:val="-3"/>
          <w:lang w:val="en-US" w:eastAsia="zh-TW" w:bidi="zh-TW"/>
        </w:rPr>
        <w:br/>
      </w:r>
      <w:r w:rsidRPr="00B20C0A">
        <w:rPr>
          <w:b/>
          <w:lang w:val="en-US" w:eastAsia="zh-TW" w:bidi="zh-TW"/>
        </w:rPr>
        <w:t xml:space="preserve">from GEM </w:t>
      </w:r>
      <w:r w:rsidRPr="00B20C0A">
        <w:rPr>
          <w:b/>
          <w:spacing w:val="-3"/>
          <w:lang w:val="en-US" w:eastAsia="zh-TW" w:bidi="zh-TW"/>
        </w:rPr>
        <w:t xml:space="preserve">to </w:t>
      </w:r>
      <w:r w:rsidRPr="00B20C0A">
        <w:rPr>
          <w:b/>
          <w:lang w:val="en-US" w:eastAsia="zh-TW" w:bidi="zh-TW"/>
        </w:rPr>
        <w:t xml:space="preserve">the Main Board </w:t>
      </w:r>
      <w:r w:rsidRPr="00B20C0A">
        <w:rPr>
          <w:b/>
          <w:lang w:val="en-US" w:eastAsia="zh-TW" w:bidi="zh-TW"/>
        </w:rPr>
        <w:br/>
        <w:t>(for Eligible Issuers under Chapter 9B)</w:t>
      </w:r>
    </w:p>
    <w:p w14:paraId="05EB8975" w14:textId="77777777" w:rsidR="00B20C0A" w:rsidRPr="00B20C0A" w:rsidRDefault="00B20C0A" w:rsidP="00B20C0A">
      <w:pPr>
        <w:rPr>
          <w:lang w:val="en-US" w:eastAsia="zh-TW" w:bidi="zh-TW"/>
        </w:rPr>
      </w:pPr>
    </w:p>
    <w:p w14:paraId="3804F61E" w14:textId="77777777" w:rsidR="00B20C0A" w:rsidRPr="00B20C0A" w:rsidRDefault="00B20C0A" w:rsidP="00B20C0A">
      <w:pPr>
        <w:widowControl w:val="0"/>
        <w:autoSpaceDE w:val="0"/>
        <w:autoSpaceDN w:val="0"/>
        <w:spacing w:before="29" w:after="0"/>
        <w:ind w:right="4"/>
        <w:rPr>
          <w:rFonts w:ascii="Arial" w:eastAsia="Arial" w:hAnsi="Arial" w:cs="Arial"/>
          <w:color w:val="231F20"/>
          <w:lang w:val="en-US" w:eastAsia="zh-TW" w:bidi="zh-TW"/>
        </w:rPr>
      </w:pPr>
      <w:r w:rsidRPr="00B20C0A">
        <w:rPr>
          <w:rFonts w:ascii="Arial" w:eastAsia="Arial" w:hAnsi="Arial" w:cs="Arial"/>
          <w:color w:val="231F20"/>
          <w:lang w:val="en-US" w:eastAsia="zh-TW" w:bidi="zh-TW"/>
        </w:rPr>
        <w:t>This form must be duly completed and lodged in compliance with the provisions of Chapter 9B.</w:t>
      </w:r>
    </w:p>
    <w:p w14:paraId="3162A19C" w14:textId="77777777" w:rsidR="00B20C0A" w:rsidRPr="00B20C0A" w:rsidRDefault="00B20C0A" w:rsidP="00B20C0A">
      <w:pPr>
        <w:widowControl w:val="0"/>
        <w:autoSpaceDE w:val="0"/>
        <w:autoSpaceDN w:val="0"/>
        <w:spacing w:before="29" w:after="0"/>
        <w:ind w:left="337" w:right="4"/>
        <w:jc w:val="left"/>
        <w:rPr>
          <w:rFonts w:ascii="Arial" w:eastAsia="Arial" w:hAnsi="Arial" w:cs="Arial"/>
          <w:color w:val="231F20"/>
          <w:lang w:val="en-US" w:eastAsia="zh-TW" w:bidi="zh-TW"/>
        </w:rPr>
      </w:pPr>
    </w:p>
    <w:p w14:paraId="2FDEA6CE" w14:textId="77777777" w:rsidR="00B20C0A" w:rsidRPr="00B20C0A" w:rsidRDefault="00B20C0A" w:rsidP="00B20C0A">
      <w:pPr>
        <w:widowControl w:val="0"/>
        <w:tabs>
          <w:tab w:val="left" w:pos="5960"/>
        </w:tabs>
        <w:autoSpaceDE w:val="0"/>
        <w:autoSpaceDN w:val="0"/>
        <w:spacing w:before="25" w:after="0"/>
        <w:ind w:left="567" w:hanging="567"/>
        <w:jc w:val="left"/>
        <w:rPr>
          <w:rFonts w:ascii="Arial" w:eastAsia="Arial" w:hAnsi="Arial" w:cs="Arial"/>
          <w:color w:val="231F20"/>
          <w:lang w:val="en-US" w:eastAsia="zh-TW" w:bidi="zh-TW"/>
        </w:rPr>
      </w:pPr>
      <w:r w:rsidRPr="00B20C0A">
        <w:rPr>
          <w:rFonts w:ascii="Arial" w:eastAsia="Arial" w:hAnsi="Arial" w:cs="Arial"/>
          <w:color w:val="231F20"/>
          <w:lang w:val="en-US" w:eastAsia="zh-TW" w:bidi="zh-TW"/>
        </w:rPr>
        <w:t>To:</w:t>
      </w:r>
      <w:r w:rsidRPr="00B20C0A">
        <w:rPr>
          <w:rFonts w:ascii="Arial" w:eastAsia="Arial" w:hAnsi="Arial" w:cs="Arial"/>
          <w:color w:val="231F20"/>
          <w:lang w:val="en-US" w:eastAsia="zh-TW" w:bidi="zh-TW"/>
        </w:rPr>
        <w:tab/>
        <w:t>The Head of the Listing Division</w:t>
      </w:r>
    </w:p>
    <w:p w14:paraId="0BB1EB1B" w14:textId="77777777" w:rsidR="00B20C0A" w:rsidRPr="00B20C0A" w:rsidRDefault="00B20C0A" w:rsidP="00B20C0A">
      <w:pPr>
        <w:widowControl w:val="0"/>
        <w:tabs>
          <w:tab w:val="left" w:pos="5960"/>
        </w:tabs>
        <w:autoSpaceDE w:val="0"/>
        <w:autoSpaceDN w:val="0"/>
        <w:spacing w:before="25" w:after="0"/>
        <w:ind w:left="567"/>
        <w:jc w:val="left"/>
        <w:rPr>
          <w:rFonts w:ascii="Arial" w:eastAsia="Arial" w:hAnsi="Arial" w:cs="Arial"/>
          <w:color w:val="231F20"/>
          <w:lang w:val="en-US" w:eastAsia="zh-TW" w:bidi="zh-TW"/>
        </w:rPr>
      </w:pPr>
      <w:r w:rsidRPr="00B20C0A">
        <w:rPr>
          <w:rFonts w:ascii="Arial" w:eastAsia="Arial" w:hAnsi="Arial" w:cs="Arial"/>
          <w:color w:val="231F20"/>
          <w:lang w:val="en-US" w:eastAsia="zh-TW" w:bidi="zh-TW"/>
        </w:rPr>
        <w:t>The Listing Division</w:t>
      </w:r>
    </w:p>
    <w:p w14:paraId="43951C1D" w14:textId="77777777" w:rsidR="00B20C0A" w:rsidRPr="00B20C0A" w:rsidRDefault="00B20C0A" w:rsidP="00B20C0A">
      <w:pPr>
        <w:widowControl w:val="0"/>
        <w:tabs>
          <w:tab w:val="right" w:pos="8931"/>
        </w:tabs>
        <w:autoSpaceDE w:val="0"/>
        <w:autoSpaceDN w:val="0"/>
        <w:spacing w:before="25" w:after="0"/>
        <w:ind w:left="567"/>
        <w:jc w:val="left"/>
        <w:rPr>
          <w:rFonts w:ascii="Arial" w:eastAsia="Arial" w:hAnsi="Arial" w:cs="Arial"/>
          <w:color w:val="231F20"/>
          <w:lang w:val="en-US" w:eastAsia="zh-TW" w:bidi="zh-TW"/>
        </w:rPr>
      </w:pPr>
      <w:r w:rsidRPr="00B20C0A">
        <w:rPr>
          <w:rFonts w:ascii="Arial" w:eastAsia="Arial" w:hAnsi="Arial" w:cs="Arial"/>
          <w:color w:val="231F20"/>
          <w:lang w:val="en-US" w:eastAsia="zh-TW" w:bidi="zh-TW"/>
        </w:rPr>
        <w:t xml:space="preserve">The Stock Exchange of Hong Kong Limited                                                </w:t>
      </w:r>
      <w:r w:rsidRPr="00B20C0A">
        <w:rPr>
          <w:rFonts w:ascii="Arial" w:eastAsia="Arial" w:hAnsi="Arial" w:cs="Arial"/>
          <w:color w:val="231F20"/>
          <w:lang w:val="en-US" w:eastAsia="zh-TW" w:bidi="zh-TW"/>
        </w:rPr>
        <w:tab/>
        <w:t xml:space="preserve">. . . . . . . . . </w:t>
      </w:r>
      <w:proofErr w:type="gramStart"/>
      <w:r w:rsidRPr="00B20C0A">
        <w:rPr>
          <w:rFonts w:ascii="Arial" w:eastAsia="Arial" w:hAnsi="Arial" w:cs="Arial"/>
          <w:color w:val="231F20"/>
          <w:lang w:val="en-US" w:eastAsia="zh-TW" w:bidi="zh-TW"/>
        </w:rPr>
        <w:t>. . . .</w:t>
      </w:r>
      <w:proofErr w:type="gramEnd"/>
      <w:r w:rsidRPr="00B20C0A">
        <w:rPr>
          <w:rFonts w:ascii="Arial" w:eastAsia="Arial" w:hAnsi="Arial" w:cs="Arial"/>
          <w:color w:val="231F20"/>
          <w:lang w:val="en-US" w:eastAsia="zh-TW" w:bidi="zh-TW"/>
        </w:rPr>
        <w:t xml:space="preserve"> .</w:t>
      </w:r>
    </w:p>
    <w:p w14:paraId="4A644BF1" w14:textId="77777777" w:rsidR="00B20C0A" w:rsidRPr="00B20C0A" w:rsidRDefault="00B20C0A" w:rsidP="00B20C0A">
      <w:pPr>
        <w:widowControl w:val="0"/>
        <w:tabs>
          <w:tab w:val="left" w:pos="5960"/>
        </w:tabs>
        <w:autoSpaceDE w:val="0"/>
        <w:autoSpaceDN w:val="0"/>
        <w:spacing w:before="25" w:after="0"/>
        <w:jc w:val="left"/>
        <w:rPr>
          <w:rFonts w:ascii="Arial" w:eastAsia="Arial" w:hAnsi="Arial" w:cs="Arial"/>
          <w:color w:val="231F20"/>
          <w:lang w:val="en-US" w:eastAsia="zh-TW" w:bidi="zh-TW"/>
        </w:rPr>
      </w:pPr>
    </w:p>
    <w:p w14:paraId="04C23A5D" w14:textId="77777777" w:rsidR="00B20C0A" w:rsidRPr="00B20C0A" w:rsidRDefault="00B20C0A" w:rsidP="00B20C0A">
      <w:pPr>
        <w:widowControl w:val="0"/>
        <w:tabs>
          <w:tab w:val="left" w:pos="5960"/>
        </w:tabs>
        <w:autoSpaceDE w:val="0"/>
        <w:autoSpaceDN w:val="0"/>
        <w:spacing w:before="25" w:after="0"/>
        <w:rPr>
          <w:rFonts w:ascii="Arial" w:eastAsia="Arial" w:hAnsi="Arial" w:cs="Arial"/>
          <w:color w:val="231F20"/>
          <w:lang w:val="en-US" w:eastAsia="zh-TW" w:bidi="zh-TW"/>
        </w:rPr>
      </w:pPr>
      <w:r w:rsidRPr="00B20C0A">
        <w:rPr>
          <w:rFonts w:ascii="Arial" w:eastAsia="Arial" w:hAnsi="Arial" w:cs="Arial"/>
          <w:color w:val="231F20"/>
          <w:lang w:val="en-US" w:eastAsia="zh-TW" w:bidi="zh-TW"/>
        </w:rPr>
        <w:t>Dear Sir,</w:t>
      </w:r>
    </w:p>
    <w:p w14:paraId="2A45C526" w14:textId="77777777" w:rsidR="00B20C0A" w:rsidRPr="00B20C0A" w:rsidRDefault="00B20C0A" w:rsidP="00B20C0A">
      <w:pPr>
        <w:widowControl w:val="0"/>
        <w:tabs>
          <w:tab w:val="left" w:pos="5960"/>
        </w:tabs>
        <w:autoSpaceDE w:val="0"/>
        <w:autoSpaceDN w:val="0"/>
        <w:spacing w:before="25" w:after="0"/>
        <w:rPr>
          <w:rFonts w:ascii="Arial" w:eastAsia="Arial" w:hAnsi="Arial" w:cs="Arial"/>
          <w:color w:val="231F20"/>
          <w:lang w:val="en-US" w:eastAsia="zh-TW" w:bidi="zh-TW"/>
        </w:rPr>
      </w:pPr>
    </w:p>
    <w:p w14:paraId="51A90198" w14:textId="0CA00C40" w:rsidR="00B20C0A" w:rsidRPr="00B20C0A" w:rsidRDefault="00B20C0A" w:rsidP="00B20C0A">
      <w:pPr>
        <w:widowControl w:val="0"/>
        <w:numPr>
          <w:ilvl w:val="0"/>
          <w:numId w:val="1"/>
        </w:numPr>
        <w:tabs>
          <w:tab w:val="left" w:pos="5960"/>
        </w:tabs>
        <w:autoSpaceDE w:val="0"/>
        <w:autoSpaceDN w:val="0"/>
        <w:spacing w:before="25" w:after="0" w:line="240" w:lineRule="auto"/>
        <w:rPr>
          <w:rFonts w:ascii="Arial" w:eastAsia="Arial" w:hAnsi="Arial" w:cs="Arial"/>
          <w:lang w:val="en-US" w:eastAsia="zh-TW" w:bidi="zh-TW"/>
        </w:rPr>
      </w:pPr>
      <w:r w:rsidRPr="00B20C0A">
        <w:rPr>
          <w:rFonts w:ascii="Arial" w:eastAsia="Arial" w:hAnsi="Arial" w:cs="Arial"/>
          <w:lang w:val="en-US" w:eastAsia="zh-TW" w:bidi="zh-TW"/>
        </w:rPr>
        <w:t>We,</w:t>
      </w:r>
      <w:r w:rsidRPr="00B20C0A">
        <w:rPr>
          <w:rFonts w:ascii="Arial" w:eastAsia="Arial" w:hAnsi="Arial" w:cs="Arial"/>
          <w:lang w:val="en-US" w:eastAsia="zh-TW" w:bidi="zh-TW"/>
        </w:rPr>
        <w:tab/>
        <w:t xml:space="preserve">[Limited] (the “Issuer”) hereby apply for the listing of and for permission to deal in the securities referred to in paragraph </w:t>
      </w:r>
      <w:r w:rsidRPr="00B20C0A">
        <w:rPr>
          <w:rFonts w:ascii="Arial" w:eastAsia="Arial" w:hAnsi="Arial" w:cs="Arial"/>
          <w:lang w:val="en-US" w:eastAsia="zh-TW" w:bidi="zh-TW"/>
        </w:rPr>
        <w:fldChar w:fldCharType="begin"/>
      </w:r>
      <w:r w:rsidRPr="00B20C0A">
        <w:rPr>
          <w:rFonts w:ascii="Arial" w:eastAsia="Arial" w:hAnsi="Arial" w:cs="Arial"/>
          <w:lang w:val="en-US" w:eastAsia="zh-TW" w:bidi="zh-TW"/>
        </w:rPr>
        <w:instrText xml:space="preserve"> REF _Ref151652665 \r \h </w:instrText>
      </w:r>
      <w:r>
        <w:rPr>
          <w:rFonts w:ascii="Arial" w:eastAsia="Arial" w:hAnsi="Arial" w:cs="Arial"/>
          <w:lang w:val="en-US" w:eastAsia="zh-TW" w:bidi="zh-TW"/>
        </w:rPr>
        <w:instrText xml:space="preserve"> \* MERGEFORMAT </w:instrText>
      </w:r>
      <w:r w:rsidRPr="00B20C0A">
        <w:rPr>
          <w:rFonts w:ascii="Arial" w:eastAsia="Arial" w:hAnsi="Arial" w:cs="Arial"/>
          <w:lang w:val="en-US" w:eastAsia="zh-TW" w:bidi="zh-TW"/>
        </w:rPr>
      </w:r>
      <w:r w:rsidRPr="00B20C0A">
        <w:rPr>
          <w:rFonts w:ascii="Arial" w:eastAsia="Arial" w:hAnsi="Arial" w:cs="Arial"/>
          <w:lang w:val="en-US" w:eastAsia="zh-TW" w:bidi="zh-TW"/>
        </w:rPr>
        <w:fldChar w:fldCharType="separate"/>
      </w:r>
      <w:r w:rsidRPr="00B20C0A">
        <w:rPr>
          <w:rFonts w:ascii="Arial" w:eastAsia="Arial" w:hAnsi="Arial" w:cs="Arial"/>
          <w:lang w:val="en-US" w:eastAsia="zh-TW" w:bidi="zh-TW"/>
        </w:rPr>
        <w:t>3</w:t>
      </w:r>
      <w:r w:rsidRPr="00B20C0A">
        <w:rPr>
          <w:rFonts w:ascii="Arial" w:eastAsia="Arial" w:hAnsi="Arial" w:cs="Arial"/>
          <w:lang w:val="en-US" w:eastAsia="zh-TW" w:bidi="zh-TW"/>
        </w:rPr>
        <w:fldChar w:fldCharType="end"/>
      </w:r>
      <w:r w:rsidRPr="00B20C0A">
        <w:rPr>
          <w:rFonts w:ascii="Arial" w:eastAsia="Arial" w:hAnsi="Arial" w:cs="Arial"/>
          <w:lang w:val="en-US" w:eastAsia="zh-TW" w:bidi="zh-TW"/>
        </w:rPr>
        <w:t xml:space="preserve"> below subject to the listing rules of The Stock Exchange of Hong Kong Limited (the “Exchange”) entitled “Rules Governing the Listing of Securities” (the “Listing Rules”). (Note 1)</w:t>
      </w:r>
    </w:p>
    <w:p w14:paraId="5BAF064C" w14:textId="77777777" w:rsidR="00B20C0A" w:rsidRPr="00B20C0A" w:rsidRDefault="00B20C0A" w:rsidP="00B20C0A">
      <w:pPr>
        <w:widowControl w:val="0"/>
        <w:tabs>
          <w:tab w:val="left" w:pos="5960"/>
        </w:tabs>
        <w:autoSpaceDE w:val="0"/>
        <w:autoSpaceDN w:val="0"/>
        <w:spacing w:before="25" w:after="0"/>
        <w:ind w:left="360"/>
        <w:rPr>
          <w:rFonts w:ascii="Arial" w:eastAsia="Arial" w:hAnsi="Arial" w:cs="Arial"/>
          <w:lang w:val="en-US" w:eastAsia="zh-TW" w:bidi="zh-TW"/>
        </w:rPr>
      </w:pPr>
    </w:p>
    <w:p w14:paraId="649188E5" w14:textId="77777777" w:rsidR="00B20C0A" w:rsidRPr="00B20C0A" w:rsidRDefault="00B20C0A" w:rsidP="00B20C0A">
      <w:pPr>
        <w:widowControl w:val="0"/>
        <w:numPr>
          <w:ilvl w:val="0"/>
          <w:numId w:val="1"/>
        </w:numPr>
        <w:tabs>
          <w:tab w:val="left" w:pos="5960"/>
        </w:tabs>
        <w:autoSpaceDE w:val="0"/>
        <w:autoSpaceDN w:val="0"/>
        <w:spacing w:before="25" w:after="0" w:line="240" w:lineRule="auto"/>
        <w:jc w:val="left"/>
        <w:rPr>
          <w:rFonts w:ascii="Arial" w:eastAsia="Arial" w:hAnsi="Arial" w:cs="Arial"/>
          <w:lang w:val="en-US" w:eastAsia="zh-TW" w:bidi="zh-TW"/>
        </w:rPr>
      </w:pPr>
      <w:r w:rsidRPr="00B20C0A">
        <w:rPr>
          <w:rFonts w:ascii="Arial" w:eastAsia="Arial" w:hAnsi="Arial" w:cs="Arial"/>
          <w:lang w:val="en-US" w:eastAsia="zh-TW" w:bidi="zh-TW"/>
        </w:rPr>
        <w:t xml:space="preserve">SHARE CAPITAL </w:t>
      </w:r>
    </w:p>
    <w:p w14:paraId="3E3D99A0" w14:textId="77777777" w:rsidR="00B20C0A" w:rsidRPr="00B20C0A" w:rsidRDefault="00B20C0A" w:rsidP="00B20C0A">
      <w:pPr>
        <w:widowControl w:val="0"/>
        <w:tabs>
          <w:tab w:val="left" w:pos="5960"/>
        </w:tabs>
        <w:autoSpaceDE w:val="0"/>
        <w:autoSpaceDN w:val="0"/>
        <w:spacing w:before="25" w:after="0"/>
        <w:rPr>
          <w:rFonts w:ascii="Arial" w:eastAsia="Arial" w:hAnsi="Arial" w:cs="Arial"/>
          <w:lang w:val="en-US" w:eastAsia="zh-TW" w:bidi="zh-TW"/>
        </w:rPr>
      </w:pPr>
    </w:p>
    <w:tbl>
      <w:tblPr>
        <w:tblW w:w="9062" w:type="dxa"/>
        <w:tblInd w:w="294" w:type="dxa"/>
        <w:tblLayout w:type="fixed"/>
        <w:tblCellMar>
          <w:left w:w="0" w:type="dxa"/>
          <w:right w:w="0" w:type="dxa"/>
        </w:tblCellMar>
        <w:tblLook w:val="01E0" w:firstRow="1" w:lastRow="1" w:firstColumn="1" w:lastColumn="1" w:noHBand="0" w:noVBand="0"/>
      </w:tblPr>
      <w:tblGrid>
        <w:gridCol w:w="273"/>
        <w:gridCol w:w="1418"/>
        <w:gridCol w:w="709"/>
        <w:gridCol w:w="262"/>
        <w:gridCol w:w="1440"/>
        <w:gridCol w:w="2334"/>
        <w:gridCol w:w="2626"/>
      </w:tblGrid>
      <w:tr w:rsidR="00B20C0A" w:rsidRPr="00B20C0A" w14:paraId="7C89FAA9" w14:textId="77777777" w:rsidTr="00AF5B1F">
        <w:trPr>
          <w:trHeight w:val="597"/>
        </w:trPr>
        <w:tc>
          <w:tcPr>
            <w:tcW w:w="273" w:type="dxa"/>
          </w:tcPr>
          <w:p w14:paraId="5C3B6032" w14:textId="77777777" w:rsidR="00B20C0A" w:rsidRPr="00B20C0A" w:rsidRDefault="00B20C0A" w:rsidP="00AF5B1F">
            <w:pPr>
              <w:widowControl w:val="0"/>
              <w:tabs>
                <w:tab w:val="left" w:pos="5960"/>
              </w:tabs>
              <w:autoSpaceDE w:val="0"/>
              <w:autoSpaceDN w:val="0"/>
              <w:spacing w:before="25" w:after="0"/>
              <w:rPr>
                <w:rFonts w:ascii="Arial" w:eastAsia="PMingLiU" w:hAnsi="Arial" w:cs="Arial"/>
                <w:lang w:val="zh-TW" w:eastAsia="zh-TW" w:bidi="zh-TW"/>
              </w:rPr>
            </w:pPr>
          </w:p>
        </w:tc>
        <w:tc>
          <w:tcPr>
            <w:tcW w:w="1418" w:type="dxa"/>
            <w:tcBorders>
              <w:bottom w:val="single" w:sz="4" w:space="0" w:color="auto"/>
            </w:tcBorders>
            <w:vAlign w:val="bottom"/>
          </w:tcPr>
          <w:p w14:paraId="6CE64C88" w14:textId="77777777" w:rsidR="00B20C0A" w:rsidRPr="00B20C0A" w:rsidRDefault="00B20C0A" w:rsidP="00AF5B1F">
            <w:pPr>
              <w:widowControl w:val="0"/>
              <w:tabs>
                <w:tab w:val="left" w:pos="5960"/>
              </w:tabs>
              <w:autoSpaceDE w:val="0"/>
              <w:autoSpaceDN w:val="0"/>
              <w:spacing w:before="25" w:after="0"/>
              <w:jc w:val="left"/>
              <w:rPr>
                <w:rFonts w:ascii="Arial" w:eastAsia="Arial" w:hAnsi="Arial" w:cs="Arial"/>
                <w:lang w:val="zh-TW" w:eastAsia="zh-TW" w:bidi="zh-TW"/>
              </w:rPr>
            </w:pPr>
            <w:r w:rsidRPr="00B20C0A">
              <w:rPr>
                <w:rFonts w:ascii="Arial" w:eastAsia="Arial" w:hAnsi="Arial" w:cs="Arial"/>
                <w:lang w:val="zh-TW" w:eastAsia="zh-TW" w:bidi="zh-TW"/>
              </w:rPr>
              <w:t>Authorised $</w:t>
            </w:r>
          </w:p>
        </w:tc>
        <w:tc>
          <w:tcPr>
            <w:tcW w:w="709" w:type="dxa"/>
            <w:vAlign w:val="bottom"/>
          </w:tcPr>
          <w:p w14:paraId="5A12EC99" w14:textId="77777777" w:rsidR="00B20C0A" w:rsidRPr="00B20C0A" w:rsidRDefault="00B20C0A" w:rsidP="00AF5B1F">
            <w:pPr>
              <w:widowControl w:val="0"/>
              <w:tabs>
                <w:tab w:val="left" w:pos="5960"/>
              </w:tabs>
              <w:autoSpaceDE w:val="0"/>
              <w:autoSpaceDN w:val="0"/>
              <w:spacing w:before="25" w:after="0"/>
              <w:jc w:val="left"/>
              <w:rPr>
                <w:rFonts w:ascii="Arial" w:eastAsia="PMingLiU" w:hAnsi="Arial" w:cs="Arial"/>
                <w:lang w:val="zh-TW" w:eastAsia="zh-TW" w:bidi="zh-TW"/>
              </w:rPr>
            </w:pPr>
          </w:p>
        </w:tc>
        <w:tc>
          <w:tcPr>
            <w:tcW w:w="262" w:type="dxa"/>
          </w:tcPr>
          <w:p w14:paraId="230B98B4"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1440" w:type="dxa"/>
          </w:tcPr>
          <w:p w14:paraId="0EEDF32E"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2334" w:type="dxa"/>
          </w:tcPr>
          <w:p w14:paraId="5996F19E"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2626" w:type="dxa"/>
            <w:tcBorders>
              <w:bottom w:val="single" w:sz="4" w:space="0" w:color="231F20"/>
            </w:tcBorders>
          </w:tcPr>
          <w:p w14:paraId="0EC0264C" w14:textId="77777777" w:rsidR="00B20C0A" w:rsidRPr="00B20C0A" w:rsidRDefault="00B20C0A" w:rsidP="00AF5B1F">
            <w:pPr>
              <w:widowControl w:val="0"/>
              <w:tabs>
                <w:tab w:val="left" w:pos="5960"/>
              </w:tabs>
              <w:autoSpaceDE w:val="0"/>
              <w:autoSpaceDN w:val="0"/>
              <w:spacing w:before="25" w:after="0"/>
              <w:jc w:val="left"/>
              <w:rPr>
                <w:rFonts w:ascii="Arial" w:eastAsia="Arial" w:hAnsi="Arial" w:cs="Arial"/>
                <w:lang w:val="en-US" w:eastAsia="zh-TW" w:bidi="zh-TW"/>
              </w:rPr>
            </w:pPr>
            <w:r w:rsidRPr="00B20C0A">
              <w:rPr>
                <w:rFonts w:ascii="Arial" w:eastAsia="Arial" w:hAnsi="Arial" w:cs="Arial"/>
                <w:lang w:val="en-US" w:eastAsia="zh-TW" w:bidi="zh-TW"/>
              </w:rPr>
              <w:t xml:space="preserve">Issued (and paid up) </w:t>
            </w:r>
            <w:r w:rsidRPr="00B20C0A">
              <w:rPr>
                <w:rFonts w:ascii="Arial" w:eastAsia="Arial" w:hAnsi="Arial" w:cs="Arial"/>
                <w:lang w:val="en-US" w:eastAsia="zh-TW" w:bidi="zh-TW"/>
              </w:rPr>
              <w:br/>
              <w:t>inclusive of present issue</w:t>
            </w:r>
          </w:p>
        </w:tc>
      </w:tr>
      <w:tr w:rsidR="00B20C0A" w:rsidRPr="00B20C0A" w14:paraId="7DC030F3" w14:textId="77777777" w:rsidTr="00AF5B1F">
        <w:trPr>
          <w:trHeight w:val="1196"/>
        </w:trPr>
        <w:tc>
          <w:tcPr>
            <w:tcW w:w="273" w:type="dxa"/>
          </w:tcPr>
          <w:p w14:paraId="5462296B"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en-US" w:eastAsia="zh-TW" w:bidi="zh-TW"/>
              </w:rPr>
            </w:pPr>
          </w:p>
        </w:tc>
        <w:tc>
          <w:tcPr>
            <w:tcW w:w="2127" w:type="dxa"/>
            <w:gridSpan w:val="2"/>
          </w:tcPr>
          <w:p w14:paraId="54DBC9CF"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en-US" w:eastAsia="zh-TW" w:bidi="zh-TW"/>
              </w:rPr>
            </w:pPr>
          </w:p>
          <w:p w14:paraId="0ED9DF2C"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r w:rsidRPr="00B20C0A">
              <w:rPr>
                <w:rFonts w:ascii="Arial" w:eastAsia="Arial" w:hAnsi="Arial" w:cs="Arial"/>
                <w:lang w:eastAsia="zh-TW" w:bidi="zh-TW"/>
              </w:rPr>
              <w:t>. . . . . . . . . . .</w:t>
            </w:r>
          </w:p>
          <w:p w14:paraId="57534DB6"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r w:rsidRPr="00B20C0A">
              <w:rPr>
                <w:rFonts w:ascii="Arial" w:eastAsia="Arial" w:hAnsi="Arial" w:cs="Arial"/>
                <w:lang w:eastAsia="zh-TW" w:bidi="zh-TW"/>
              </w:rPr>
              <w:t>. . . . . . . . . . .</w:t>
            </w:r>
          </w:p>
          <w:p w14:paraId="31D917D5" w14:textId="77777777" w:rsidR="00B20C0A" w:rsidRPr="00B20C0A" w:rsidRDefault="00B20C0A" w:rsidP="00AF5B1F">
            <w:pPr>
              <w:widowControl w:val="0"/>
              <w:tabs>
                <w:tab w:val="left" w:pos="5960"/>
              </w:tabs>
              <w:autoSpaceDE w:val="0"/>
              <w:autoSpaceDN w:val="0"/>
              <w:spacing w:before="0" w:after="0"/>
              <w:rPr>
                <w:rFonts w:ascii="Arial" w:eastAsia="Arial" w:hAnsi="Arial" w:cs="Arial"/>
                <w:lang w:eastAsia="zh-TW" w:bidi="zh-TW"/>
              </w:rPr>
            </w:pPr>
            <w:r w:rsidRPr="00B20C0A">
              <w:rPr>
                <w:rFonts w:ascii="Arial" w:eastAsia="Arial" w:hAnsi="Arial" w:cs="Arial"/>
                <w:lang w:eastAsia="zh-TW" w:bidi="zh-TW"/>
              </w:rPr>
              <w:t>. . . . . . . . . . .</w:t>
            </w:r>
          </w:p>
          <w:p w14:paraId="7074229D"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r w:rsidRPr="00B20C0A">
              <w:rPr>
                <w:rFonts w:ascii="Arial" w:eastAsia="Arial" w:hAnsi="Arial" w:cs="Arial"/>
                <w:lang w:eastAsia="zh-TW" w:bidi="zh-TW"/>
              </w:rPr>
              <w:t>. . . . . . . . . . .</w:t>
            </w:r>
          </w:p>
        </w:tc>
        <w:tc>
          <w:tcPr>
            <w:tcW w:w="262" w:type="dxa"/>
          </w:tcPr>
          <w:p w14:paraId="3260D1E1"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p>
          <w:p w14:paraId="47606D7E"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r w:rsidRPr="00B20C0A">
              <w:rPr>
                <w:rFonts w:ascii="Arial" w:eastAsia="Arial" w:hAnsi="Arial" w:cs="Arial"/>
                <w:lang w:eastAsia="zh-TW" w:bidi="zh-TW"/>
              </w:rPr>
              <w:t>in in in in</w:t>
            </w:r>
          </w:p>
        </w:tc>
        <w:tc>
          <w:tcPr>
            <w:tcW w:w="1440" w:type="dxa"/>
          </w:tcPr>
          <w:p w14:paraId="595562EC"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p>
          <w:p w14:paraId="3BC0E402"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eastAsia="zh-TW" w:bidi="zh-TW"/>
              </w:rPr>
            </w:pPr>
            <w:r w:rsidRPr="00B20C0A">
              <w:rPr>
                <w:rFonts w:ascii="Arial" w:eastAsia="Arial" w:hAnsi="Arial" w:cs="Arial"/>
                <w:lang w:eastAsia="zh-TW" w:bidi="zh-TW"/>
              </w:rPr>
              <w:t>. . . . . . . . .</w:t>
            </w:r>
          </w:p>
          <w:p w14:paraId="71F7E642"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eastAsia="zh-TW" w:bidi="zh-TW"/>
              </w:rPr>
              <w:t xml:space="preserve">. . </w:t>
            </w:r>
            <w:r w:rsidRPr="00B20C0A">
              <w:rPr>
                <w:rFonts w:ascii="Arial" w:eastAsia="Arial" w:hAnsi="Arial" w:cs="Arial"/>
                <w:lang w:val="zh-TW" w:eastAsia="zh-TW" w:bidi="zh-TW"/>
              </w:rPr>
              <w:t>. . . . . . .</w:t>
            </w:r>
          </w:p>
          <w:p w14:paraId="4E496165" w14:textId="77777777" w:rsidR="00B20C0A" w:rsidRPr="00B20C0A" w:rsidRDefault="00B20C0A" w:rsidP="00AF5B1F">
            <w:pPr>
              <w:widowControl w:val="0"/>
              <w:tabs>
                <w:tab w:val="left" w:pos="5960"/>
              </w:tabs>
              <w:autoSpaceDE w:val="0"/>
              <w:autoSpaceDN w:val="0"/>
              <w:spacing w:before="0" w:after="0"/>
              <w:rPr>
                <w:rFonts w:ascii="Arial" w:eastAsia="Arial" w:hAnsi="Arial" w:cs="Arial"/>
                <w:lang w:val="zh-TW" w:eastAsia="zh-TW" w:bidi="zh-TW"/>
              </w:rPr>
            </w:pPr>
            <w:r w:rsidRPr="00B20C0A">
              <w:rPr>
                <w:rFonts w:ascii="Arial" w:eastAsia="Arial" w:hAnsi="Arial" w:cs="Arial"/>
                <w:lang w:val="zh-TW" w:eastAsia="zh-TW" w:bidi="zh-TW"/>
              </w:rPr>
              <w:t>. . . . . . . . .</w:t>
            </w:r>
          </w:p>
          <w:p w14:paraId="702A3D6D"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 . . . . . . . .</w:t>
            </w:r>
          </w:p>
        </w:tc>
        <w:tc>
          <w:tcPr>
            <w:tcW w:w="2334" w:type="dxa"/>
          </w:tcPr>
          <w:p w14:paraId="1F83615B"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en-US" w:eastAsia="zh-TW" w:bidi="zh-TW"/>
              </w:rPr>
            </w:pPr>
          </w:p>
          <w:p w14:paraId="0E3AA31F" w14:textId="77777777" w:rsidR="00B20C0A" w:rsidRPr="00B20C0A" w:rsidRDefault="00B20C0A" w:rsidP="00AF5B1F">
            <w:pPr>
              <w:widowControl w:val="0"/>
              <w:tabs>
                <w:tab w:val="left" w:pos="5960"/>
              </w:tabs>
              <w:autoSpaceDE w:val="0"/>
              <w:autoSpaceDN w:val="0"/>
              <w:spacing w:before="25" w:after="0"/>
              <w:jc w:val="left"/>
              <w:rPr>
                <w:rFonts w:ascii="Arial" w:eastAsia="Arial" w:hAnsi="Arial" w:cs="Arial"/>
                <w:lang w:val="en-US" w:eastAsia="zh-TW" w:bidi="zh-TW"/>
              </w:rPr>
            </w:pPr>
            <w:r w:rsidRPr="00B20C0A">
              <w:rPr>
                <w:rFonts w:ascii="Arial" w:eastAsia="Arial" w:hAnsi="Arial" w:cs="Arial"/>
                <w:lang w:val="en-US" w:eastAsia="zh-TW" w:bidi="zh-TW"/>
              </w:rPr>
              <w:t>Stock/Shares of Stock/Shares of Stock/Shares of Stock/Shares of</w:t>
            </w:r>
          </w:p>
        </w:tc>
        <w:tc>
          <w:tcPr>
            <w:tcW w:w="2626" w:type="dxa"/>
            <w:tcBorders>
              <w:top w:val="single" w:sz="4" w:space="0" w:color="231F20"/>
            </w:tcBorders>
          </w:tcPr>
          <w:p w14:paraId="7A90A58A"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en-US" w:eastAsia="zh-TW" w:bidi="zh-TW"/>
              </w:rPr>
            </w:pPr>
          </w:p>
          <w:p w14:paraId="1A2B91B3"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 . . . . . . . . . . . . . . . . . . .</w:t>
            </w:r>
          </w:p>
          <w:p w14:paraId="14814F87"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 . . . . . . . . . . . . . . . . . . .</w:t>
            </w:r>
          </w:p>
          <w:p w14:paraId="3FD4BD2B" w14:textId="77777777" w:rsidR="00B20C0A" w:rsidRPr="00B20C0A" w:rsidRDefault="00B20C0A" w:rsidP="00AF5B1F">
            <w:pPr>
              <w:widowControl w:val="0"/>
              <w:tabs>
                <w:tab w:val="left" w:pos="5960"/>
              </w:tabs>
              <w:autoSpaceDE w:val="0"/>
              <w:autoSpaceDN w:val="0"/>
              <w:spacing w:before="0" w:after="0"/>
              <w:rPr>
                <w:rFonts w:ascii="Arial" w:eastAsia="Arial" w:hAnsi="Arial" w:cs="Arial"/>
                <w:lang w:val="zh-TW" w:eastAsia="zh-TW" w:bidi="zh-TW"/>
              </w:rPr>
            </w:pPr>
            <w:r w:rsidRPr="00B20C0A">
              <w:rPr>
                <w:rFonts w:ascii="Arial" w:eastAsia="Arial" w:hAnsi="Arial" w:cs="Arial"/>
                <w:lang w:val="zh-TW" w:eastAsia="zh-TW" w:bidi="zh-TW"/>
              </w:rPr>
              <w:t>. . . . . . . . . . . . . . . . . . . .</w:t>
            </w:r>
          </w:p>
          <w:p w14:paraId="5F69ED44"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 . . . . . . . . . . . . . . . . . . .</w:t>
            </w:r>
          </w:p>
        </w:tc>
      </w:tr>
      <w:tr w:rsidR="00B20C0A" w:rsidRPr="00B20C0A" w14:paraId="18494776" w14:textId="77777777" w:rsidTr="00AF5B1F">
        <w:trPr>
          <w:trHeight w:val="364"/>
        </w:trPr>
        <w:tc>
          <w:tcPr>
            <w:tcW w:w="273" w:type="dxa"/>
          </w:tcPr>
          <w:p w14:paraId="5122E605"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2127" w:type="dxa"/>
            <w:gridSpan w:val="2"/>
          </w:tcPr>
          <w:p w14:paraId="42DF1E84" w14:textId="77777777" w:rsidR="00B20C0A" w:rsidRPr="00B20C0A" w:rsidRDefault="00B20C0A" w:rsidP="00AF5B1F">
            <w:pPr>
              <w:widowControl w:val="0"/>
              <w:tabs>
                <w:tab w:val="left" w:pos="5960"/>
              </w:tabs>
              <w:autoSpaceDE w:val="0"/>
              <w:autoSpaceDN w:val="0"/>
              <w:spacing w:before="25" w:after="0"/>
              <w:rPr>
                <w:rFonts w:ascii="Arial" w:eastAsia="PMingLiU" w:hAnsi="Arial" w:cs="Arial"/>
                <w:lang w:val="zh-TW" w:eastAsia="zh-TW" w:bidi="zh-TW"/>
              </w:rPr>
            </w:pPr>
          </w:p>
          <w:p w14:paraId="04A2797C"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w:t>
            </w:r>
          </w:p>
        </w:tc>
        <w:tc>
          <w:tcPr>
            <w:tcW w:w="262" w:type="dxa"/>
          </w:tcPr>
          <w:p w14:paraId="681B411E"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1440" w:type="dxa"/>
          </w:tcPr>
          <w:p w14:paraId="789E0924"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2334" w:type="dxa"/>
          </w:tcPr>
          <w:p w14:paraId="61D1A3D6"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p>
        </w:tc>
        <w:tc>
          <w:tcPr>
            <w:tcW w:w="2626" w:type="dxa"/>
          </w:tcPr>
          <w:p w14:paraId="42872906" w14:textId="77777777" w:rsidR="00B20C0A" w:rsidRPr="00B20C0A" w:rsidRDefault="00B20C0A" w:rsidP="00AF5B1F">
            <w:pPr>
              <w:widowControl w:val="0"/>
              <w:tabs>
                <w:tab w:val="left" w:pos="5960"/>
              </w:tabs>
              <w:autoSpaceDE w:val="0"/>
              <w:autoSpaceDN w:val="0"/>
              <w:spacing w:before="25" w:after="0"/>
              <w:rPr>
                <w:rFonts w:ascii="Arial" w:eastAsia="PMingLiU" w:hAnsi="Arial" w:cs="Arial"/>
                <w:lang w:val="zh-TW" w:eastAsia="zh-TW" w:bidi="zh-TW"/>
              </w:rPr>
            </w:pPr>
          </w:p>
          <w:p w14:paraId="563DB4AD" w14:textId="77777777" w:rsidR="00B20C0A" w:rsidRPr="00B20C0A" w:rsidRDefault="00B20C0A" w:rsidP="00AF5B1F">
            <w:pPr>
              <w:widowControl w:val="0"/>
              <w:tabs>
                <w:tab w:val="left" w:pos="5960"/>
              </w:tabs>
              <w:autoSpaceDE w:val="0"/>
              <w:autoSpaceDN w:val="0"/>
              <w:spacing w:before="25" w:after="0"/>
              <w:rPr>
                <w:rFonts w:ascii="Arial" w:eastAsia="Arial" w:hAnsi="Arial" w:cs="Arial"/>
                <w:lang w:val="zh-TW" w:eastAsia="zh-TW" w:bidi="zh-TW"/>
              </w:rPr>
            </w:pPr>
            <w:r w:rsidRPr="00B20C0A">
              <w:rPr>
                <w:rFonts w:ascii="Arial" w:eastAsia="Arial" w:hAnsi="Arial" w:cs="Arial"/>
                <w:lang w:val="zh-TW" w:eastAsia="zh-TW" w:bidi="zh-TW"/>
              </w:rPr>
              <w:t>$</w:t>
            </w:r>
          </w:p>
        </w:tc>
      </w:tr>
    </w:tbl>
    <w:p w14:paraId="4E4741F3" w14:textId="77777777" w:rsidR="00B20C0A" w:rsidRPr="00B20C0A" w:rsidRDefault="00B20C0A" w:rsidP="00B20C0A">
      <w:pPr>
        <w:widowControl w:val="0"/>
        <w:tabs>
          <w:tab w:val="left" w:pos="5960"/>
        </w:tabs>
        <w:autoSpaceDE w:val="0"/>
        <w:autoSpaceDN w:val="0"/>
        <w:spacing w:before="25" w:after="0"/>
        <w:rPr>
          <w:rFonts w:ascii="Arial" w:eastAsia="Arial" w:hAnsi="Arial" w:cs="Arial"/>
          <w:lang w:val="en-US" w:eastAsia="zh-TW" w:bidi="zh-TW"/>
        </w:rPr>
      </w:pPr>
    </w:p>
    <w:p w14:paraId="5A7CDEE6" w14:textId="2517612A" w:rsidR="00B20C0A" w:rsidRPr="00885228" w:rsidRDefault="00B20C0A" w:rsidP="00885228">
      <w:pPr>
        <w:widowControl w:val="0"/>
        <w:numPr>
          <w:ilvl w:val="0"/>
          <w:numId w:val="1"/>
        </w:numPr>
        <w:autoSpaceDE w:val="0"/>
        <w:autoSpaceDN w:val="0"/>
        <w:spacing w:before="0" w:after="0" w:line="240" w:lineRule="auto"/>
        <w:contextualSpacing/>
        <w:rPr>
          <w:rFonts w:ascii="Arial" w:eastAsia="Arial" w:hAnsi="Arial" w:cs="Arial"/>
          <w:lang w:val="en-US" w:eastAsia="zh-TW" w:bidi="zh-TW"/>
        </w:rPr>
      </w:pPr>
      <w:r w:rsidRPr="00885228">
        <w:rPr>
          <w:rFonts w:ascii="Arial" w:eastAsia="Arial" w:hAnsi="Arial" w:cs="Arial"/>
          <w:lang w:val="en-US" w:eastAsia="zh-TW" w:bidi="zh-TW"/>
        </w:rPr>
        <w:br w:type="page"/>
      </w:r>
      <w:bookmarkStart w:id="0" w:name="_Ref151652665"/>
      <w:r w:rsidRPr="00885228">
        <w:rPr>
          <w:rFonts w:ascii="Arial" w:eastAsia="Arial" w:hAnsi="Arial" w:cs="Arial"/>
          <w:lang w:val="en-US" w:eastAsia="zh-TW" w:bidi="zh-TW"/>
        </w:rPr>
        <w:lastRenderedPageBreak/>
        <w:t>Amounts and descriptions of securities for which application is now made [including, if applicable, amounts and descriptions of any options, warrants or convertible instruments relating to such securities for which transfer application is made simultaneously] (include distinctive numbers if any)</w:t>
      </w:r>
      <w:bookmarkEnd w:id="0"/>
    </w:p>
    <w:p w14:paraId="03800615"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61761603" w14:textId="77777777" w:rsidR="00B20C0A" w:rsidRPr="00B20C0A" w:rsidRDefault="00B20C0A" w:rsidP="00B20C0A">
      <w:pPr>
        <w:widowControl w:val="0"/>
        <w:autoSpaceDE w:val="0"/>
        <w:autoSpaceDN w:val="0"/>
        <w:spacing w:before="0" w:after="0"/>
        <w:ind w:left="567"/>
        <w:rPr>
          <w:rFonts w:ascii="Arial" w:eastAsia="PMingLiU" w:hAnsi="Arial" w:cs="Arial"/>
          <w:lang w:val="en-US" w:eastAsia="zh-TW" w:bidi="zh-TW"/>
        </w:rPr>
      </w:pPr>
      <w:r w:rsidRPr="00B20C0A">
        <w:rPr>
          <w:rFonts w:ascii="Arial" w:eastAsia="Arial" w:hAnsi="Arial" w:cs="Arial"/>
          <w:lang w:val="en-US" w:eastAsia="zh-TW" w:bidi="zh-TW"/>
        </w:rPr>
        <w:t>. . . . . . . . . . . . . . . . . . . . . . . . . . . . . . . . . . . . . . . . . . . . . . . . . . . . . . . . . . . . . . . . . . . . . . . . . . . . . .</w:t>
      </w:r>
    </w:p>
    <w:p w14:paraId="0A376EC0" w14:textId="77777777" w:rsidR="00B20C0A" w:rsidRPr="00B20C0A" w:rsidRDefault="00B20C0A" w:rsidP="00B20C0A">
      <w:pPr>
        <w:widowControl w:val="0"/>
        <w:autoSpaceDE w:val="0"/>
        <w:autoSpaceDN w:val="0"/>
        <w:spacing w:before="0" w:after="0"/>
        <w:ind w:left="567"/>
        <w:rPr>
          <w:rFonts w:ascii="Arial" w:eastAsia="PMingLiU" w:hAnsi="Arial" w:cs="Arial"/>
          <w:lang w:val="en-US" w:eastAsia="zh-TW" w:bidi="zh-TW"/>
        </w:rPr>
      </w:pPr>
      <w:r w:rsidRPr="00B20C0A">
        <w:rPr>
          <w:rFonts w:ascii="Arial" w:eastAsia="Arial" w:hAnsi="Arial" w:cs="Arial"/>
          <w:lang w:val="en-US" w:eastAsia="zh-TW" w:bidi="zh-TW"/>
        </w:rPr>
        <w:t xml:space="preserve">. . . . . . . . . . . . . . . . . . . . . . . . . . . . . . . . . . . . . . . . . . . . . . . . . . . . . . . . . . . . . . . . . . . . . . . . . . . . . . </w:t>
      </w:r>
    </w:p>
    <w:p w14:paraId="0BA06052" w14:textId="77777777" w:rsidR="00B20C0A" w:rsidRPr="00B20C0A" w:rsidRDefault="00B20C0A" w:rsidP="00B20C0A">
      <w:pPr>
        <w:widowControl w:val="0"/>
        <w:autoSpaceDE w:val="0"/>
        <w:autoSpaceDN w:val="0"/>
        <w:spacing w:before="0" w:after="0"/>
        <w:ind w:left="567"/>
        <w:rPr>
          <w:rFonts w:ascii="Arial" w:eastAsia="PMingLiU" w:hAnsi="Arial" w:cs="Arial"/>
          <w:lang w:val="en-US" w:eastAsia="zh-TW" w:bidi="zh-TW"/>
        </w:rPr>
      </w:pPr>
      <w:r w:rsidRPr="00B20C0A">
        <w:rPr>
          <w:rFonts w:ascii="Arial" w:eastAsia="Arial" w:hAnsi="Arial" w:cs="Arial"/>
          <w:lang w:val="en-US" w:eastAsia="zh-TW" w:bidi="zh-TW"/>
        </w:rPr>
        <w:t xml:space="preserve">. . . . . . . . . . . . . . . . . . . . . . . . . . . . . . . . . . . . . . . . . . . . . . . . . . . . . . . . . . . . . . . . . . . . . . . . . . . . . . </w:t>
      </w:r>
    </w:p>
    <w:p w14:paraId="229BCF7B"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4E73632C" w14:textId="77777777" w:rsidR="00B20C0A" w:rsidRPr="00B20C0A" w:rsidRDefault="00B20C0A" w:rsidP="00B20C0A">
      <w:pPr>
        <w:widowControl w:val="0"/>
        <w:numPr>
          <w:ilvl w:val="0"/>
          <w:numId w:val="1"/>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The securities for which application is now made are proposed to be listed by way of transfer of listing from GEM to the Main Board.</w:t>
      </w:r>
    </w:p>
    <w:p w14:paraId="3BB05F62"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7848089E" w14:textId="77777777" w:rsidR="00B20C0A" w:rsidRPr="00B20C0A" w:rsidRDefault="00B20C0A" w:rsidP="00B20C0A">
      <w:pPr>
        <w:widowControl w:val="0"/>
        <w:numPr>
          <w:ilvl w:val="0"/>
          <w:numId w:val="1"/>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So far as is known or can be ascertained after reasonable enquiry, by the directors of the Issuer, the undermentioned is/are substantial shareholder(s) of the company or of its holding company (Note 2</w:t>
      </w:r>
      <w:proofErr w:type="gramStart"/>
      <w:r w:rsidRPr="00B20C0A">
        <w:rPr>
          <w:rFonts w:ascii="Arial" w:eastAsia="Arial" w:hAnsi="Arial" w:cs="Arial"/>
          <w:lang w:val="en-US" w:eastAsia="zh-TW" w:bidi="zh-TW"/>
        </w:rPr>
        <w:t>):—</w:t>
      </w:r>
      <w:proofErr w:type="gramEnd"/>
    </w:p>
    <w:p w14:paraId="7E7F8351"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7CDDA63F"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r w:rsidRPr="00B20C0A">
        <w:rPr>
          <w:rFonts w:ascii="Arial" w:eastAsia="Arial" w:hAnsi="Arial" w:cs="Arial"/>
          <w:noProof/>
          <w:lang w:val="en-US"/>
        </w:rPr>
        <mc:AlternateContent>
          <mc:Choice Requires="wps">
            <w:drawing>
              <wp:anchor distT="0" distB="0" distL="0" distR="0" simplePos="0" relativeHeight="251661312" behindDoc="1" locked="0" layoutInCell="1" allowOverlap="1" wp14:anchorId="0E4DB97B" wp14:editId="56D14CAB">
                <wp:simplePos x="0" y="0"/>
                <wp:positionH relativeFrom="page">
                  <wp:posOffset>5219065</wp:posOffset>
                </wp:positionH>
                <wp:positionV relativeFrom="paragraph">
                  <wp:posOffset>563245</wp:posOffset>
                </wp:positionV>
                <wp:extent cx="1323975" cy="45085"/>
                <wp:effectExtent l="0" t="0" r="28575" b="0"/>
                <wp:wrapTopAndBottom/>
                <wp:docPr id="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45085"/>
                        </a:xfrm>
                        <a:custGeom>
                          <a:avLst/>
                          <a:gdLst>
                            <a:gd name="T0" fmla="+- 0 1417 1417"/>
                            <a:gd name="T1" fmla="*/ T0 w 473"/>
                            <a:gd name="T2" fmla="+- 0 1890 1417"/>
                            <a:gd name="T3" fmla="*/ T2 w 473"/>
                          </a:gdLst>
                          <a:ahLst/>
                          <a:cxnLst>
                            <a:cxn ang="0">
                              <a:pos x="T1" y="0"/>
                            </a:cxn>
                            <a:cxn ang="0">
                              <a:pos x="T3" y="0"/>
                            </a:cxn>
                          </a:cxnLst>
                          <a:rect l="0" t="0" r="r" b="b"/>
                          <a:pathLst>
                            <a:path w="473">
                              <a:moveTo>
                                <a:pt x="0" y="0"/>
                              </a:moveTo>
                              <a:lnTo>
                                <a:pt x="4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4686" id="Freeform 20" o:spid="_x0000_s1026" style="position:absolute;margin-left:410.95pt;margin-top:44.35pt;width:104.2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ADkAIAAHsFAAAOAAAAZHJzL2Uyb0RvYy54bWysVNuO2jAQfa/Uf7D82GrJBVggIqyq3VJV&#10;2l6kpR9gHIdEdTyubQj06zt2EqBUfan6Eo0z4zNnzoxn+XBsJDkIY2tQOU1GMSVCcShqtcvpt836&#10;bk6JdUwVTIISOT0JSx9Wr18tW52JFCqQhTAEQZTNWp3TyjmdRZHllWiYHYEWCp0lmIY5PJpdVBjW&#10;InojozSO76MWTKENcGEt/n3qnHQV8MtScPelLK1wROYUubnwNeG79d9otWTZzjBd1bynwf6BRcNq&#10;hUnPUE/MMbI39R9QTc0NWCjdiEMTQVnWXIQasJokvqnmpWJahFpQHKvPMtn/B8s/H170V+OpW/0M&#10;/LtFRaJW2+zs8QeLMWTbfoICe8j2DkKxx9I0/iaWQY5B09NZU3F0hOPPZJyOF7MpJRx9k2k8n3rN&#10;I5YNl/neug8CAhA7PFvXtaRAKwhaEMUazLrB9pWNxO68vSMxSSbJLHz6Fp7DkiHsTUQ2MWnJZDa+&#10;jUmHmA5qvujwbsPGQ5iHSi9QyH438GPVQJkfVc8ZLcL8A4iDTBqsl2eDzAZ9EAGDfH1/icXUt7Hd&#10;nT6Fwcm+nWlDCc70tqtCM+eZ+RTeJC2qj0L4cwMHsYHgcTd9wxwXr1TXUf72NafOixc8fOjoOaVn&#10;etVVBetaytBWqTyR+/G0U8aCrAvv9GSs2W0fpSEHhm81HSfrNDxPBPstzMBeFQGsEqx439uO1bKz&#10;MV6ismGG/dj6VWCzLRQnHGED3QbAjYVGBeYnJS2+/pzaH3tmBCXyo8LntUgmE78uwmEynSEVYq49&#10;22sPUxyhcuoott2bj65bMXtt6l2FmZIgvIJ3+HTK2o944Nex6g/4woOM/TbyK+T6HKIuO3P1CwAA&#10;//8DAFBLAwQUAAYACAAAACEAN9ibFt8AAAAKAQAADwAAAGRycy9kb3ducmV2LnhtbEyPwU7DMAyG&#10;70i8Q2QkbizZgJGVphNCQtoJxLYDu7lJ1lY0TpVka3l7shPcbPnT7+8v15Pr2dmG2HlSMJ8JYJa0&#10;Nx01Cva7tzsJLCYkg70nq+DHRlhX11clFsaP9GnP29SwHEKxQAVtSkPBedStdRhnfrCUb0cfHKa8&#10;hoabgGMOdz1fCLHkDjvKH1oc7Gtr9ff25BTUm3Gjd+/yK3wsDwFjGve6a5S6vZlenoElO6U/GC76&#10;WR2q7FT7E5nIegVyMV9lNA/yCdgFEPfiAVitYPUogVcl/1+h+gUAAP//AwBQSwECLQAUAAYACAAA&#10;ACEAtoM4kv4AAADhAQAAEwAAAAAAAAAAAAAAAAAAAAAAW0NvbnRlbnRfVHlwZXNdLnhtbFBLAQIt&#10;ABQABgAIAAAAIQA4/SH/1gAAAJQBAAALAAAAAAAAAAAAAAAAAC8BAABfcmVscy8ucmVsc1BLAQIt&#10;ABQABgAIAAAAIQAHbCADkAIAAHsFAAAOAAAAAAAAAAAAAAAAAC4CAABkcnMvZTJvRG9jLnhtbFBL&#10;AQItABQABgAIAAAAIQA32JsW3wAAAAoBAAAPAAAAAAAAAAAAAAAAAOoEAABkcnMvZG93bnJldi54&#10;bWxQSwUGAAAAAAQABADzAAAA9gUAAAAA&#10;" path="m,l473,e" filled="f" strokecolor="#231f20" strokeweight=".5pt">
                <v:path arrowok="t" o:connecttype="custom" o:connectlocs="0,0;1323975,0" o:connectangles="0,0"/>
                <w10:wrap type="topAndBottom" anchorx="page"/>
              </v:shape>
            </w:pict>
          </mc:Fallback>
        </mc:AlternateContent>
      </w:r>
      <w:r w:rsidRPr="00B20C0A">
        <w:rPr>
          <w:rFonts w:ascii="Arial" w:eastAsia="Arial" w:hAnsi="Arial" w:cs="Arial"/>
          <w:noProof/>
          <w:lang w:val="en-US"/>
        </w:rPr>
        <mc:AlternateContent>
          <mc:Choice Requires="wps">
            <w:drawing>
              <wp:anchor distT="0" distB="0" distL="0" distR="0" simplePos="0" relativeHeight="251659264" behindDoc="1" locked="0" layoutInCell="1" allowOverlap="1" wp14:anchorId="367723AC" wp14:editId="13A05860">
                <wp:simplePos x="0" y="0"/>
                <wp:positionH relativeFrom="page">
                  <wp:posOffset>3217545</wp:posOffset>
                </wp:positionH>
                <wp:positionV relativeFrom="paragraph">
                  <wp:posOffset>562610</wp:posOffset>
                </wp:positionV>
                <wp:extent cx="594995" cy="45085"/>
                <wp:effectExtent l="0" t="0" r="14605" b="0"/>
                <wp:wrapTopAndBottom/>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 cy="45085"/>
                        </a:xfrm>
                        <a:custGeom>
                          <a:avLst/>
                          <a:gdLst>
                            <a:gd name="T0" fmla="+- 0 1417 1417"/>
                            <a:gd name="T1" fmla="*/ T0 w 473"/>
                            <a:gd name="T2" fmla="+- 0 1890 1417"/>
                            <a:gd name="T3" fmla="*/ T2 w 473"/>
                          </a:gdLst>
                          <a:ahLst/>
                          <a:cxnLst>
                            <a:cxn ang="0">
                              <a:pos x="T1" y="0"/>
                            </a:cxn>
                            <a:cxn ang="0">
                              <a:pos x="T3" y="0"/>
                            </a:cxn>
                          </a:cxnLst>
                          <a:rect l="0" t="0" r="r" b="b"/>
                          <a:pathLst>
                            <a:path w="473">
                              <a:moveTo>
                                <a:pt x="0" y="0"/>
                              </a:moveTo>
                              <a:lnTo>
                                <a:pt x="4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95E8" id="Freeform 15" o:spid="_x0000_s1026" style="position:absolute;margin-left:253.35pt;margin-top:44.3pt;width:46.8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3nkAIAAHoFAAAOAAAAZHJzL2Uyb0RvYy54bWysVNuO2jAQfa/Uf7D82GpJAmGBiLCqdktV&#10;aXuRln6AcRwS1fG4tiHQr+/YSYBS9aXqSzTOjM+cOTOe5cOxkeQgjK1B5TQZxZQIxaGo1S6n3zbr&#10;uzkl1jFVMAlK5PQkLH1YvX61bHUmxlCBLIQhCKJs1uqcVs7pLIosr0TD7Ai0UOgswTTM4dHsosKw&#10;FtEbGY3j+D5qwRTaABfW4t+nzklXAb8sBXdfytIKR2ROkZsLXxO+W/+NVkuW7QzTVc17GuwfWDSs&#10;Vpj0DPXEHCN7U/8B1dTcgIXSjTg0EZRlzUWoAatJ4ptqXiqmRagFxbH6LJP9f7D88+FFfzWeutXP&#10;wL9bVCRqtc3OHn+wGEO27ScosIds7yAUeyxN429iGeQYND2dNRVHRzj+nC7SxWJKCUdXOo3nUy95&#10;xLLhLt9b90FAwGGHZ+u6jhRoBT0LoliDSTfYvbKR2Jy3dyQmSZrMwqfv4DksGcLeRGQTk5aks8lt&#10;zHiI6aDmiw7vNmwyhHmo8QUK2e8GfqwaKPOj6jmjRZif/ziopMF6dTbIbJAHETDI1/eXWEx9G9vd&#10;6VMYHOzbkTaU4Ehvuyo0c56ZT+FN0qL6KIQ/N3AQGwged9M2zHHxSnUd5W9fc+q8eMHDh46eU3qm&#10;V11VsK6lDG2VyhO5n0w7ZSzIuvBOT8aa3fZRGnJg+FTHk2Q9Dq8TwX4LM7BXRQCrBCve97Zjtexs&#10;jJeobBhhP7V+E9hsC8UJJ9hAtwBwYaFRgflJSYuPP6f2x54ZQYn8qPB1LZI09dsiHNLpDKkQc+3Z&#10;XnuY4giVU0ex7d58dN2G2WtT7yrMlAThFbzDl1PWfsQDv45Vf8AHHmTsl5HfINfnEHVZmatfAAAA&#10;//8DAFBLAwQUAAYACAAAACEANNv5u94AAAAJAQAADwAAAGRycy9kb3ducmV2LnhtbEyPwU7DMBBE&#10;70j8g7VI3KgNom4I2VQICaknEG0P7c2xTRIRryPbbcLfY070uJqnmbfVenYDO9sQe08I9wsBzJL2&#10;pqcWYb97uyuAxaTIqMGTRfixEdb19VWlSuMn+rTnbWpZLqFYKoQupbHkPOrOOhUXfrSUsy8fnEr5&#10;DC03QU253A38QQjJneopL3RqtK+d1d/bk0NoNtNG796LQ/iQx6Bimva6bxFvb+aXZ2DJzukfhj/9&#10;rA51dmr8iUxkA8JSyFVGEYpCAsuAFOIRWIPwtFwBryt++UH9CwAA//8DAFBLAQItABQABgAIAAAA&#10;IQC2gziS/gAAAOEBAAATAAAAAAAAAAAAAAAAAAAAAABbQ29udGVudF9UeXBlc10ueG1sUEsBAi0A&#10;FAAGAAgAAAAhADj9If/WAAAAlAEAAAsAAAAAAAAAAAAAAAAALwEAAF9yZWxzLy5yZWxzUEsBAi0A&#10;FAAGAAgAAAAhACTG7eeQAgAAegUAAA4AAAAAAAAAAAAAAAAALgIAAGRycy9lMm9Eb2MueG1sUEsB&#10;Ai0AFAAGAAgAAAAhADTb+bveAAAACQEAAA8AAAAAAAAAAAAAAAAA6gQAAGRycy9kb3ducmV2Lnht&#10;bFBLBQYAAAAABAAEAPMAAAD1BQAAAAA=&#10;" path="m,l473,e" filled="f" strokecolor="#231f20" strokeweight=".5pt">
                <v:path arrowok="t" o:connecttype="custom" o:connectlocs="0,0;594995,0" o:connectangles="0,0"/>
                <w10:wrap type="topAndBottom" anchorx="page"/>
              </v:shape>
            </w:pict>
          </mc:Fallback>
        </mc:AlternateContent>
      </w:r>
      <w:r w:rsidRPr="00B20C0A">
        <w:rPr>
          <w:rFonts w:ascii="Arial" w:eastAsia="Arial" w:hAnsi="Arial" w:cs="Arial"/>
          <w:noProof/>
          <w:lang w:val="en-US"/>
        </w:rPr>
        <mc:AlternateContent>
          <mc:Choice Requires="wps">
            <w:drawing>
              <wp:anchor distT="0" distB="0" distL="0" distR="0" simplePos="0" relativeHeight="251660288" behindDoc="1" locked="0" layoutInCell="1" allowOverlap="1" wp14:anchorId="096B1B04" wp14:editId="6CF82E82">
                <wp:simplePos x="0" y="0"/>
                <wp:positionH relativeFrom="page">
                  <wp:posOffset>1397000</wp:posOffset>
                </wp:positionH>
                <wp:positionV relativeFrom="paragraph">
                  <wp:posOffset>562610</wp:posOffset>
                </wp:positionV>
                <wp:extent cx="431165" cy="60325"/>
                <wp:effectExtent l="0" t="0" r="26035" b="0"/>
                <wp:wrapTopAndBottom/>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60325"/>
                        </a:xfrm>
                        <a:custGeom>
                          <a:avLst/>
                          <a:gdLst>
                            <a:gd name="T0" fmla="+- 0 1417 1417"/>
                            <a:gd name="T1" fmla="*/ T0 w 473"/>
                            <a:gd name="T2" fmla="+- 0 1890 1417"/>
                            <a:gd name="T3" fmla="*/ T2 w 473"/>
                          </a:gdLst>
                          <a:ahLst/>
                          <a:cxnLst>
                            <a:cxn ang="0">
                              <a:pos x="T1" y="0"/>
                            </a:cxn>
                            <a:cxn ang="0">
                              <a:pos x="T3" y="0"/>
                            </a:cxn>
                          </a:cxnLst>
                          <a:rect l="0" t="0" r="r" b="b"/>
                          <a:pathLst>
                            <a:path w="473">
                              <a:moveTo>
                                <a:pt x="0" y="0"/>
                              </a:moveTo>
                              <a:lnTo>
                                <a:pt x="4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DE96" id="Freeform 19" o:spid="_x0000_s1026" style="position:absolute;margin-left:110pt;margin-top:44.3pt;width:33.95pt;height:4.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lsjwIAAHoFAAAOAAAAZHJzL2Uyb0RvYy54bWysVNtu2zAMfR+wfxD0uKHxJbfWiFMM7TIM&#10;6C5Asw9QZDk2JouapMTpvn6UfEmWYS/DXgzKpA4PDymu7k+NJEdhbA0qp8kkpkQoDkWt9jn9tt3c&#10;3FJiHVMFk6BETl+Epffr169Wrc5EChXIQhiCIMpmrc5p5ZzOosjySjTMTkALhc4STMMcHs0+Kgxr&#10;Eb2RURrHi6gFU2gDXFiLfx87J10H/LIU3H0pSysckTlFbi58Tfju/Ddar1i2N0xXNe9psH9g0bBa&#10;YdIR6pE5Rg6m/gOqqbkBC6WbcGgiKMuai1ADVpPEV9U8V0yLUAuKY/Uok/1/sPzz8Vl/NZ661U/A&#10;v1tUJGq1zUaPP1iMIbv2ExTYQ3ZwEIo9labxN7EMcgqavoyaipMjHH/OpkmymFPC0bWIp+ncSx6x&#10;bLjLD9Z9EBBw2PHJuq4jBVpBz4Io1mDSLXavbCQ25+0NiUkyS5bh03dwDEuGsDcR2cakJbPl9Dom&#10;HWI6qNu7Du86bDqEeaj0DIXs9wM/Vg2U+Un1nNEizM9/HFTSYL06W2Q2yIMIGOTr+0sspr6O7e70&#10;KQwO9vVIG0pwpHddFZo5z8yn8CZpsRMohD83cBRbCB531TbMcfZKdRnlb19y6rx4wcOHjo4pPdOL&#10;rirY1FKGtkrliSym804ZC7IuvNOTsWa/e5CGHBk+1XSabNLwOhHstzADB1UEsEqw4n1vO1bLzsZ4&#10;icqGEfZT6zeBzXZQvOAEG+gWAC4sNCowPylp8fHn1P44MCMokR8Vvq67ZDbz2yIcZvMlUiHm0rO7&#10;9DDFESqnjmLbvfngug1z0KbeV5gpCcIreIcvp6z9iAd+Hav+gA88yNgvI79BLs8h6rwy178AAAD/&#10;/wMAUEsDBBQABgAIAAAAIQDsN98P4AAAAAkBAAAPAAAAZHJzL2Rvd25yZXYueG1sTI/BSsNAEEDv&#10;gv+wjOBF7KZBahIzKaKIolQw7cXbNrsmwexsyG6atF/veNLjMI83b/L1bDtxMINvHSEsFxEIQ5XT&#10;LdUIu+3TdQLCB0VadY4MwtF4WBfnZ7nKtJvowxzKUAuWkM8UQhNCn0npq8ZY5ReuN8S7LzdYFXgc&#10;aqkHNbHcdjKOopW0qiW+0KjePDSm+i5Hi3DVT8fX53Lz/vK5GW/02+mU1vEj4uXFfH8HIpg5/MHw&#10;m8/pUHDT3o2kvegQYtYzipAkKxAMxMltCmKPkCZLkEUu/39Q/AAAAP//AwBQSwECLQAUAAYACAAA&#10;ACEAtoM4kv4AAADhAQAAEwAAAAAAAAAAAAAAAAAAAAAAW0NvbnRlbnRfVHlwZXNdLnhtbFBLAQIt&#10;ABQABgAIAAAAIQA4/SH/1gAAAJQBAAALAAAAAAAAAAAAAAAAAC8BAABfcmVscy8ucmVsc1BLAQIt&#10;ABQABgAIAAAAIQCo06lsjwIAAHoFAAAOAAAAAAAAAAAAAAAAAC4CAABkcnMvZTJvRG9jLnhtbFBL&#10;AQItABQABgAIAAAAIQDsN98P4AAAAAkBAAAPAAAAAAAAAAAAAAAAAOkEAABkcnMvZG93bnJldi54&#10;bWxQSwUGAAAAAAQABADzAAAA9gUAAAAA&#10;" path="m,l473,e" filled="f" strokecolor="#231f20" strokeweight=".5pt">
                <v:path arrowok="t" o:connecttype="custom" o:connectlocs="0,0;431165,0" o:connectangles="0,0"/>
                <w10:wrap type="topAndBottom" anchorx="page"/>
              </v:shape>
            </w:pict>
          </mc:Fallback>
        </mc:AlternateContent>
      </w:r>
    </w:p>
    <w:tbl>
      <w:tblPr>
        <w:tblStyle w:val="TableGrid1"/>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3103"/>
        <w:gridCol w:w="2399"/>
      </w:tblGrid>
      <w:tr w:rsidR="00B20C0A" w:rsidRPr="00B20C0A" w14:paraId="23640914" w14:textId="77777777" w:rsidTr="00AF5B1F">
        <w:tc>
          <w:tcPr>
            <w:tcW w:w="2835" w:type="dxa"/>
            <w:vAlign w:val="bottom"/>
          </w:tcPr>
          <w:p w14:paraId="5E3FA769" w14:textId="77777777" w:rsidR="00B20C0A" w:rsidRPr="00B20C0A" w:rsidRDefault="00B20C0A" w:rsidP="00AF5B1F">
            <w:pPr>
              <w:widowControl w:val="0"/>
              <w:autoSpaceDE w:val="0"/>
              <w:autoSpaceDN w:val="0"/>
              <w:rPr>
                <w:rFonts w:ascii="Arial" w:eastAsia="Arial" w:hAnsi="Arial" w:cs="Arial"/>
                <w:lang w:eastAsia="zh-TW" w:bidi="zh-TW"/>
              </w:rPr>
            </w:pPr>
            <w:r w:rsidRPr="00B20C0A">
              <w:rPr>
                <w:rFonts w:ascii="Arial" w:eastAsia="Arial" w:hAnsi="Arial" w:cs="Arial"/>
                <w:lang w:eastAsia="zh-TW" w:bidi="zh-TW"/>
              </w:rPr>
              <w:t>Name</w:t>
            </w:r>
          </w:p>
        </w:tc>
        <w:tc>
          <w:tcPr>
            <w:tcW w:w="3119" w:type="dxa"/>
            <w:vAlign w:val="bottom"/>
          </w:tcPr>
          <w:p w14:paraId="4B064FF8" w14:textId="77777777" w:rsidR="00B20C0A" w:rsidRPr="00B20C0A" w:rsidRDefault="00B20C0A" w:rsidP="00AF5B1F">
            <w:pPr>
              <w:widowControl w:val="0"/>
              <w:autoSpaceDE w:val="0"/>
              <w:autoSpaceDN w:val="0"/>
              <w:rPr>
                <w:rFonts w:ascii="Arial" w:eastAsia="Arial" w:hAnsi="Arial" w:cs="Arial"/>
                <w:lang w:eastAsia="zh-TW" w:bidi="zh-TW"/>
              </w:rPr>
            </w:pPr>
            <w:r w:rsidRPr="00B20C0A">
              <w:rPr>
                <w:rFonts w:ascii="Arial" w:eastAsia="Arial" w:hAnsi="Arial" w:cs="Arial"/>
                <w:lang w:eastAsia="zh-TW" w:bidi="zh-TW"/>
              </w:rPr>
              <w:t xml:space="preserve">Address </w:t>
            </w:r>
          </w:p>
        </w:tc>
        <w:tc>
          <w:tcPr>
            <w:tcW w:w="2409" w:type="dxa"/>
            <w:vAlign w:val="bottom"/>
          </w:tcPr>
          <w:p w14:paraId="4C36BB5A" w14:textId="77777777" w:rsidR="00B20C0A" w:rsidRPr="00B20C0A" w:rsidRDefault="00B20C0A" w:rsidP="00AF5B1F">
            <w:pPr>
              <w:widowControl w:val="0"/>
              <w:autoSpaceDE w:val="0"/>
              <w:autoSpaceDN w:val="0"/>
              <w:rPr>
                <w:rFonts w:ascii="Arial" w:eastAsia="Arial" w:hAnsi="Arial" w:cs="Arial"/>
                <w:lang w:eastAsia="zh-TW" w:bidi="zh-TW"/>
              </w:rPr>
            </w:pPr>
            <w:r w:rsidRPr="00B20C0A">
              <w:rPr>
                <w:rFonts w:ascii="Arial" w:eastAsia="Arial" w:hAnsi="Arial" w:cs="Arial"/>
                <w:lang w:eastAsia="zh-TW" w:bidi="zh-TW"/>
              </w:rPr>
              <w:t xml:space="preserve">Extent of holding </w:t>
            </w:r>
          </w:p>
          <w:p w14:paraId="6ABE58DD" w14:textId="77777777" w:rsidR="00B20C0A" w:rsidRPr="00B20C0A" w:rsidRDefault="00B20C0A" w:rsidP="00AF5B1F">
            <w:pPr>
              <w:widowControl w:val="0"/>
              <w:autoSpaceDE w:val="0"/>
              <w:autoSpaceDN w:val="0"/>
              <w:rPr>
                <w:rFonts w:ascii="Arial" w:eastAsia="Arial" w:hAnsi="Arial" w:cs="Arial"/>
                <w:lang w:eastAsia="zh-TW" w:bidi="zh-TW"/>
              </w:rPr>
            </w:pPr>
            <w:r w:rsidRPr="00B20C0A">
              <w:rPr>
                <w:rFonts w:ascii="Arial" w:eastAsia="Arial" w:hAnsi="Arial" w:cs="Arial"/>
                <w:lang w:eastAsia="zh-TW" w:bidi="zh-TW"/>
              </w:rPr>
              <w:t xml:space="preserve">and which company </w:t>
            </w:r>
          </w:p>
        </w:tc>
      </w:tr>
    </w:tbl>
    <w:p w14:paraId="4FBD023B"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210B7398"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4F5E3FBF"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6DC05EB2" w14:textId="77777777" w:rsidR="00B20C0A" w:rsidRPr="00B20C0A" w:rsidRDefault="00B20C0A" w:rsidP="00B20C0A">
      <w:pPr>
        <w:widowControl w:val="0"/>
        <w:autoSpaceDE w:val="0"/>
        <w:autoSpaceDN w:val="0"/>
        <w:spacing w:before="0" w:after="0"/>
        <w:ind w:left="567"/>
        <w:rPr>
          <w:rFonts w:ascii="Arial" w:eastAsia="Arial" w:hAnsi="Arial" w:cs="Arial"/>
          <w:lang w:val="en-US" w:eastAsia="zh-TW" w:bidi="zh-TW"/>
        </w:rPr>
      </w:pPr>
      <w:r w:rsidRPr="00B20C0A">
        <w:rPr>
          <w:rFonts w:ascii="Arial" w:eastAsia="Arial" w:hAnsi="Arial" w:cs="Arial"/>
          <w:lang w:val="en-US" w:eastAsia="zh-TW" w:bidi="zh-TW"/>
        </w:rPr>
        <w:t xml:space="preserve">The following are the directors, chief </w:t>
      </w:r>
      <w:proofErr w:type="gramStart"/>
      <w:r w:rsidRPr="00B20C0A">
        <w:rPr>
          <w:rFonts w:ascii="Arial" w:eastAsia="Arial" w:hAnsi="Arial" w:cs="Arial"/>
          <w:lang w:val="en-US" w:eastAsia="zh-TW" w:bidi="zh-TW"/>
        </w:rPr>
        <w:t>executive</w:t>
      </w:r>
      <w:proofErr w:type="gramEnd"/>
      <w:r w:rsidRPr="00B20C0A">
        <w:rPr>
          <w:rFonts w:ascii="Arial" w:eastAsia="Arial" w:hAnsi="Arial" w:cs="Arial"/>
          <w:lang w:val="en-US" w:eastAsia="zh-TW" w:bidi="zh-TW"/>
        </w:rPr>
        <w:t xml:space="preserve"> and secretary of the Issuer (Note 2).</w:t>
      </w:r>
    </w:p>
    <w:p w14:paraId="07FDCA7A" w14:textId="77777777" w:rsidR="00B20C0A" w:rsidRPr="00B20C0A" w:rsidRDefault="00B20C0A" w:rsidP="00B20C0A">
      <w:pPr>
        <w:widowControl w:val="0"/>
        <w:autoSpaceDE w:val="0"/>
        <w:autoSpaceDN w:val="0"/>
        <w:spacing w:before="0" w:after="0"/>
        <w:ind w:left="567"/>
        <w:rPr>
          <w:rFonts w:ascii="Arial" w:eastAsia="Arial" w:hAnsi="Arial" w:cs="Arial"/>
          <w:lang w:val="en-US" w:eastAsia="zh-TW" w:bidi="zh-TW"/>
        </w:rPr>
      </w:pPr>
    </w:p>
    <w:p w14:paraId="2E4D6EE2" w14:textId="77777777" w:rsidR="00B20C0A" w:rsidRPr="00B20C0A" w:rsidRDefault="00B20C0A" w:rsidP="00B20C0A">
      <w:pPr>
        <w:widowControl w:val="0"/>
        <w:autoSpaceDE w:val="0"/>
        <w:autoSpaceDN w:val="0"/>
        <w:spacing w:before="0" w:after="0"/>
        <w:ind w:left="567"/>
        <w:rPr>
          <w:rFonts w:ascii="Arial" w:eastAsia="Arial" w:hAnsi="Arial" w:cs="Arial"/>
          <w:lang w:val="en-US" w:eastAsia="zh-TW" w:bidi="zh-TW"/>
        </w:rPr>
      </w:pPr>
      <w:r w:rsidRPr="00B20C0A">
        <w:rPr>
          <w:rFonts w:ascii="Arial" w:eastAsia="Arial" w:hAnsi="Arial" w:cs="Arial"/>
          <w:lang w:val="en-US" w:eastAsia="zh-TW" w:bidi="zh-TW"/>
        </w:rPr>
        <w:t>. . . . . . . . . . . . . . . . . . . . . . . . . . . . . . . . . . . . . . . . . . . . . . . . . . . . . . . . . . . . . . . . . . . . . . . . . . . . . .</w:t>
      </w:r>
    </w:p>
    <w:p w14:paraId="6BA38F4B"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7CBD1D1D" w14:textId="77777777" w:rsidR="00B20C0A" w:rsidRPr="00B20C0A" w:rsidRDefault="00B20C0A" w:rsidP="00B20C0A">
      <w:pPr>
        <w:widowControl w:val="0"/>
        <w:numPr>
          <w:ilvl w:val="0"/>
          <w:numId w:val="1"/>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 xml:space="preserve">We declare, to the best of our knowledge, information and belief, </w:t>
      </w:r>
      <w:proofErr w:type="gramStart"/>
      <w:r w:rsidRPr="00B20C0A">
        <w:rPr>
          <w:rFonts w:ascii="Arial" w:eastAsia="Arial" w:hAnsi="Arial" w:cs="Arial"/>
          <w:lang w:val="en-US" w:eastAsia="zh-TW" w:bidi="zh-TW"/>
        </w:rPr>
        <w:t>that:—</w:t>
      </w:r>
      <w:proofErr w:type="gramEnd"/>
      <w:r w:rsidRPr="00B20C0A">
        <w:rPr>
          <w:rFonts w:ascii="Arial" w:eastAsia="Arial" w:hAnsi="Arial" w:cs="Arial"/>
          <w:lang w:val="en-US" w:eastAsia="zh-TW" w:bidi="zh-TW"/>
        </w:rPr>
        <w:t xml:space="preserve"> </w:t>
      </w:r>
    </w:p>
    <w:p w14:paraId="7E12DEE3"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34FDA653" w14:textId="77777777" w:rsidR="00B20C0A" w:rsidRPr="00B20C0A" w:rsidRDefault="00B20C0A" w:rsidP="00B20C0A">
      <w:pPr>
        <w:widowControl w:val="0"/>
        <w:numPr>
          <w:ilvl w:val="0"/>
          <w:numId w:val="2"/>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 xml:space="preserve">all the qualifications for a transfer of listing from GEM to the Main Board of the Exchange set out in the relevant chapters of the Listing Rules have, insofar as applicable, been fulfilled in relation to the Issuer and the securities of the Issuer referred to in paragraph 3 </w:t>
      </w:r>
      <w:proofErr w:type="gramStart"/>
      <w:r w:rsidRPr="00B20C0A">
        <w:rPr>
          <w:rFonts w:ascii="Arial" w:eastAsia="Arial" w:hAnsi="Arial" w:cs="Arial"/>
          <w:lang w:val="en-US" w:eastAsia="zh-TW" w:bidi="zh-TW"/>
        </w:rPr>
        <w:t>above;</w:t>
      </w:r>
      <w:proofErr w:type="gramEnd"/>
    </w:p>
    <w:p w14:paraId="01E27B5F"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68A3AE58" w14:textId="77777777" w:rsidR="00B20C0A" w:rsidRPr="00B20C0A" w:rsidRDefault="00B20C0A" w:rsidP="00B20C0A">
      <w:pPr>
        <w:widowControl w:val="0"/>
        <w:numPr>
          <w:ilvl w:val="0"/>
          <w:numId w:val="2"/>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 xml:space="preserve">all information required to be included in the documents accompanying or incorporated by reference in this application by virtue of the Listing Rules and the Securities and Futures (Stock Market Listing) Rules (the “SML Rules”) has been included therein or, if the final version has not yet been submitted (or reviewed), will be included therein before it is so </w:t>
      </w:r>
      <w:proofErr w:type="gramStart"/>
      <w:r w:rsidRPr="00B20C0A">
        <w:rPr>
          <w:rFonts w:ascii="Arial" w:eastAsia="Arial" w:hAnsi="Arial" w:cs="Arial"/>
          <w:lang w:val="en-US" w:eastAsia="zh-TW" w:bidi="zh-TW"/>
        </w:rPr>
        <w:t>submitted;</w:t>
      </w:r>
      <w:proofErr w:type="gramEnd"/>
    </w:p>
    <w:p w14:paraId="6A646712"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28D30D1C" w14:textId="730299D6" w:rsidR="00B20C0A" w:rsidRPr="00B20C0A" w:rsidRDefault="00B20C0A" w:rsidP="00B20C0A">
      <w:pPr>
        <w:widowControl w:val="0"/>
        <w:numPr>
          <w:ilvl w:val="0"/>
          <w:numId w:val="2"/>
        </w:numPr>
        <w:autoSpaceDE w:val="0"/>
        <w:autoSpaceDN w:val="0"/>
        <w:spacing w:before="0" w:after="0" w:line="240" w:lineRule="auto"/>
        <w:contextualSpacing/>
        <w:rPr>
          <w:rFonts w:ascii="Arial" w:eastAsia="Arial" w:hAnsi="Arial" w:cs="Arial"/>
          <w:lang w:val="en-US" w:eastAsia="zh-TW" w:bidi="zh-TW"/>
        </w:rPr>
      </w:pPr>
      <w:r w:rsidRPr="00B20C0A">
        <w:rPr>
          <w:rFonts w:ascii="Arial" w:eastAsia="Arial" w:hAnsi="Arial" w:cs="Arial"/>
          <w:lang w:val="en-US" w:eastAsia="zh-TW" w:bidi="zh-TW"/>
        </w:rPr>
        <w:t xml:space="preserve">all the requirements of the SML Rules, insofar as applicable and required to be fulfilled at the time of the application, have been fulfilled in relation to the Issuer and the securities of the Issuer referred to in paragraph </w:t>
      </w:r>
      <w:r w:rsidRPr="00B20C0A">
        <w:rPr>
          <w:rFonts w:ascii="Arial" w:eastAsia="Arial" w:hAnsi="Arial" w:cs="Arial"/>
          <w:lang w:val="en-US" w:eastAsia="zh-TW" w:bidi="zh-TW"/>
        </w:rPr>
        <w:fldChar w:fldCharType="begin"/>
      </w:r>
      <w:r w:rsidRPr="00B20C0A">
        <w:rPr>
          <w:rFonts w:ascii="Arial" w:eastAsia="Arial" w:hAnsi="Arial" w:cs="Arial"/>
          <w:lang w:val="en-US" w:eastAsia="zh-TW" w:bidi="zh-TW"/>
        </w:rPr>
        <w:instrText xml:space="preserve"> REF _Ref151652665 \r \h </w:instrText>
      </w:r>
      <w:r>
        <w:rPr>
          <w:rFonts w:ascii="Arial" w:eastAsia="Arial" w:hAnsi="Arial" w:cs="Arial"/>
          <w:lang w:val="en-US" w:eastAsia="zh-TW" w:bidi="zh-TW"/>
        </w:rPr>
        <w:instrText xml:space="preserve"> \* MERGEFORMAT </w:instrText>
      </w:r>
      <w:r w:rsidRPr="00B20C0A">
        <w:rPr>
          <w:rFonts w:ascii="Arial" w:eastAsia="Arial" w:hAnsi="Arial" w:cs="Arial"/>
          <w:lang w:val="en-US" w:eastAsia="zh-TW" w:bidi="zh-TW"/>
        </w:rPr>
      </w:r>
      <w:r w:rsidRPr="00B20C0A">
        <w:rPr>
          <w:rFonts w:ascii="Arial" w:eastAsia="Arial" w:hAnsi="Arial" w:cs="Arial"/>
          <w:lang w:val="en-US" w:eastAsia="zh-TW" w:bidi="zh-TW"/>
        </w:rPr>
        <w:fldChar w:fldCharType="separate"/>
      </w:r>
      <w:r w:rsidRPr="00B20C0A">
        <w:rPr>
          <w:rFonts w:ascii="Arial" w:eastAsia="Arial" w:hAnsi="Arial" w:cs="Arial"/>
          <w:lang w:val="en-US" w:eastAsia="zh-TW" w:bidi="zh-TW"/>
        </w:rPr>
        <w:t>3</w:t>
      </w:r>
      <w:r w:rsidRPr="00B20C0A">
        <w:rPr>
          <w:rFonts w:ascii="Arial" w:eastAsia="Arial" w:hAnsi="Arial" w:cs="Arial"/>
          <w:lang w:val="en-US" w:eastAsia="zh-TW" w:bidi="zh-TW"/>
        </w:rPr>
        <w:fldChar w:fldCharType="end"/>
      </w:r>
      <w:r w:rsidRPr="00B20C0A">
        <w:rPr>
          <w:rFonts w:ascii="Arial" w:eastAsia="Arial" w:hAnsi="Arial" w:cs="Arial"/>
          <w:lang w:val="en-US" w:eastAsia="zh-TW" w:bidi="zh-TW"/>
        </w:rPr>
        <w:t xml:space="preserve"> above; and </w:t>
      </w:r>
    </w:p>
    <w:p w14:paraId="43AAB068"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063E5955" w14:textId="77777777" w:rsidR="00B20C0A" w:rsidRPr="00B20C0A" w:rsidRDefault="00B20C0A" w:rsidP="00B20C0A">
      <w:pPr>
        <w:widowControl w:val="0"/>
        <w:numPr>
          <w:ilvl w:val="0"/>
          <w:numId w:val="2"/>
        </w:numPr>
        <w:autoSpaceDE w:val="0"/>
        <w:autoSpaceDN w:val="0"/>
        <w:spacing w:before="0" w:after="0" w:line="240" w:lineRule="auto"/>
        <w:contextualSpacing/>
        <w:rPr>
          <w:rFonts w:ascii="Arial" w:eastAsia="Arial" w:hAnsi="Arial" w:cs="Arial"/>
          <w:lang w:val="en-US" w:eastAsia="zh-TW" w:bidi="zh-TW"/>
        </w:rPr>
      </w:pPr>
      <w:proofErr w:type="gramStart"/>
      <w:r w:rsidRPr="00B20C0A">
        <w:rPr>
          <w:rFonts w:ascii="Arial" w:eastAsia="Arial" w:hAnsi="Arial" w:cs="Arial"/>
          <w:lang w:val="en-US" w:eastAsia="zh-TW" w:bidi="zh-TW"/>
        </w:rPr>
        <w:t>there</w:t>
      </w:r>
      <w:proofErr w:type="gramEnd"/>
      <w:r w:rsidRPr="00B20C0A">
        <w:rPr>
          <w:rFonts w:ascii="Arial" w:eastAsia="Arial" w:hAnsi="Arial" w:cs="Arial"/>
          <w:lang w:val="en-US" w:eastAsia="zh-TW" w:bidi="zh-TW"/>
        </w:rPr>
        <w:t xml:space="preserve"> are no other facts bearing on the Issuer’s application for listing of and permission to deal in such securities which, in our opinion, should be disclosed to the Exchange.</w:t>
      </w:r>
    </w:p>
    <w:p w14:paraId="20F5B34D" w14:textId="77777777" w:rsidR="00B20C0A" w:rsidRPr="00B20C0A" w:rsidRDefault="00B20C0A" w:rsidP="00B20C0A">
      <w:pPr>
        <w:widowControl w:val="0"/>
        <w:autoSpaceDE w:val="0"/>
        <w:autoSpaceDN w:val="0"/>
        <w:spacing w:before="0" w:after="0"/>
        <w:rPr>
          <w:rFonts w:ascii="Arial" w:eastAsia="Arial" w:hAnsi="Arial" w:cs="Arial"/>
          <w:lang w:val="en-US" w:eastAsia="zh-TW" w:bidi="zh-TW"/>
        </w:rPr>
      </w:pPr>
    </w:p>
    <w:p w14:paraId="0CEC44E7" w14:textId="77777777" w:rsidR="00B20C0A" w:rsidRPr="00B20C0A" w:rsidRDefault="00B20C0A" w:rsidP="00B20C0A">
      <w:pPr>
        <w:widowControl w:val="0"/>
        <w:numPr>
          <w:ilvl w:val="0"/>
          <w:numId w:val="1"/>
        </w:numPr>
        <w:autoSpaceDE w:val="0"/>
        <w:autoSpaceDN w:val="0"/>
        <w:spacing w:before="0" w:after="0" w:line="240" w:lineRule="auto"/>
        <w:contextualSpacing/>
        <w:jc w:val="left"/>
        <w:rPr>
          <w:rFonts w:ascii="Arial" w:eastAsia="Arial" w:hAnsi="Arial" w:cs="Arial"/>
          <w:lang w:val="en-US" w:eastAsia="zh-TW" w:bidi="zh-TW"/>
        </w:rPr>
      </w:pPr>
      <w:r w:rsidRPr="00B20C0A">
        <w:rPr>
          <w:rFonts w:ascii="Arial" w:eastAsia="Arial" w:hAnsi="Arial" w:cs="Arial"/>
          <w:lang w:val="en-US" w:eastAsia="zh-TW" w:bidi="zh-TW"/>
        </w:rPr>
        <w:t>ISSUER’S SOLE UNDERTAKING</w:t>
      </w:r>
    </w:p>
    <w:p w14:paraId="5F1C00AC" w14:textId="77777777" w:rsidR="00B20C0A" w:rsidRPr="00B20C0A" w:rsidRDefault="00B20C0A" w:rsidP="00B20C0A">
      <w:pPr>
        <w:widowControl w:val="0"/>
        <w:autoSpaceDE w:val="0"/>
        <w:autoSpaceDN w:val="0"/>
        <w:spacing w:before="0" w:after="0"/>
        <w:ind w:left="360"/>
        <w:rPr>
          <w:rFonts w:ascii="Arial" w:eastAsia="Arial" w:hAnsi="Arial" w:cs="Arial"/>
          <w:lang w:val="en-US" w:eastAsia="zh-TW" w:bidi="zh-TW"/>
        </w:rPr>
      </w:pPr>
    </w:p>
    <w:p w14:paraId="5052AD83" w14:textId="77777777" w:rsidR="00B20C0A" w:rsidRDefault="00B20C0A" w:rsidP="00B20C0A">
      <w:pPr>
        <w:widowControl w:val="0"/>
        <w:autoSpaceDE w:val="0"/>
        <w:autoSpaceDN w:val="0"/>
        <w:spacing w:before="0" w:after="0"/>
        <w:ind w:left="567"/>
        <w:contextualSpacing/>
        <w:rPr>
          <w:rFonts w:ascii="Arial" w:eastAsia="Arial" w:hAnsi="Arial" w:cs="Arial"/>
          <w:lang w:val="en-US" w:eastAsia="zh-TW" w:bidi="zh-TW"/>
        </w:rPr>
      </w:pPr>
      <w:r w:rsidRPr="00B20C0A">
        <w:rPr>
          <w:rFonts w:ascii="Arial" w:eastAsia="Arial" w:hAnsi="Arial" w:cs="Arial"/>
          <w:lang w:val="en-US" w:eastAsia="zh-TW" w:bidi="zh-TW"/>
        </w:rPr>
        <w:t xml:space="preserve">We undertake to comply with the Listing Rules from time to time so far as applicable to </w:t>
      </w:r>
      <w:r w:rsidRPr="00B20C0A">
        <w:rPr>
          <w:rFonts w:ascii="Arial" w:eastAsia="Arial" w:hAnsi="Arial" w:cs="Arial"/>
          <w:lang w:val="en-US" w:eastAsia="zh-TW" w:bidi="zh-TW"/>
        </w:rPr>
        <w:lastRenderedPageBreak/>
        <w:t>the Issuer.</w:t>
      </w:r>
    </w:p>
    <w:p w14:paraId="2B2CFA91" w14:textId="77777777" w:rsidR="00885228" w:rsidRPr="00B20C0A" w:rsidRDefault="00885228" w:rsidP="00B20C0A">
      <w:pPr>
        <w:widowControl w:val="0"/>
        <w:autoSpaceDE w:val="0"/>
        <w:autoSpaceDN w:val="0"/>
        <w:spacing w:before="0" w:after="0"/>
        <w:ind w:left="567"/>
        <w:contextualSpacing/>
        <w:rPr>
          <w:rFonts w:ascii="Arial" w:eastAsia="Arial" w:hAnsi="Arial" w:cs="Arial"/>
          <w:lang w:val="en-US" w:eastAsia="zh-TW" w:bidi="zh-TW"/>
        </w:rPr>
      </w:pPr>
    </w:p>
    <w:p w14:paraId="0ED74B11" w14:textId="77777777" w:rsidR="00B20C0A" w:rsidRPr="00B20C0A" w:rsidRDefault="00B20C0A" w:rsidP="00B20C0A">
      <w:pPr>
        <w:pStyle w:val="ListParagraph"/>
        <w:widowControl w:val="0"/>
        <w:numPr>
          <w:ilvl w:val="0"/>
          <w:numId w:val="1"/>
        </w:numPr>
        <w:autoSpaceDE w:val="0"/>
        <w:autoSpaceDN w:val="0"/>
        <w:spacing w:before="0" w:after="0"/>
        <w:contextualSpacing/>
        <w:jc w:val="left"/>
        <w:rPr>
          <w:rFonts w:ascii="Arial" w:eastAsia="Arial" w:hAnsi="Arial" w:cs="Arial"/>
          <w:lang w:val="en-US" w:eastAsia="zh-TW" w:bidi="zh-TW"/>
        </w:rPr>
      </w:pPr>
      <w:r w:rsidRPr="00B20C0A">
        <w:t xml:space="preserve">ISSUER’S AUTHORISATION FOR FILING WITH THE COMMISSION </w:t>
      </w:r>
    </w:p>
    <w:p w14:paraId="746781CC" w14:textId="77777777" w:rsidR="00B20C0A" w:rsidRPr="00B20C0A" w:rsidRDefault="00B20C0A" w:rsidP="00B20C0A">
      <w:pPr>
        <w:pStyle w:val="ListParagraph"/>
        <w:widowControl w:val="0"/>
        <w:autoSpaceDE w:val="0"/>
        <w:autoSpaceDN w:val="0"/>
        <w:spacing w:before="0" w:after="0"/>
        <w:ind w:left="567" w:firstLine="0"/>
        <w:contextualSpacing/>
        <w:jc w:val="left"/>
        <w:rPr>
          <w:lang w:val="en-US"/>
        </w:rPr>
      </w:pPr>
    </w:p>
    <w:p w14:paraId="41EB58E9" w14:textId="77777777" w:rsidR="00B20C0A" w:rsidRPr="00B20C0A" w:rsidRDefault="00B20C0A" w:rsidP="00B20C0A">
      <w:pPr>
        <w:pStyle w:val="ListParagraph"/>
        <w:widowControl w:val="0"/>
        <w:autoSpaceDE w:val="0"/>
        <w:autoSpaceDN w:val="0"/>
        <w:spacing w:before="0" w:after="0"/>
        <w:ind w:left="567" w:firstLine="0"/>
        <w:contextualSpacing/>
      </w:pPr>
      <w:r w:rsidRPr="00B20C0A">
        <w:t xml:space="preserve">We are required to file our application (within the meaning under section 2 of the SML Rules) with the Securities and Futures Commission (the “Commission”) under section 5(1) of the </w:t>
      </w:r>
      <w:r w:rsidRPr="00B20C0A">
        <w:rPr>
          <w:rFonts w:ascii="Arial" w:eastAsia="Arial" w:hAnsi="Arial" w:cs="Arial"/>
          <w:lang w:val="en-US" w:eastAsia="zh-TW" w:bidi="zh-TW"/>
        </w:rPr>
        <w:t>SML Rules</w:t>
      </w:r>
      <w:r w:rsidRPr="00B20C0A">
        <w:t xml:space="preserve">. Under section 5(2) of the </w:t>
      </w:r>
      <w:r w:rsidRPr="00B20C0A">
        <w:rPr>
          <w:rFonts w:ascii="Arial" w:eastAsia="Arial" w:hAnsi="Arial" w:cs="Arial"/>
          <w:lang w:val="en-US" w:eastAsia="zh-TW" w:bidi="zh-TW"/>
        </w:rPr>
        <w:t>SML Rules</w:t>
      </w:r>
      <w:r w:rsidRPr="00B20C0A">
        <w:t xml:space="preserve">, we hereby authorise the Exchange to file all materials with the Commission on our behalf as and when we file them with the Exchange. </w:t>
      </w:r>
    </w:p>
    <w:p w14:paraId="7CBEA866" w14:textId="77777777" w:rsidR="00B20C0A" w:rsidRPr="00B20C0A" w:rsidRDefault="00B20C0A" w:rsidP="00B20C0A">
      <w:pPr>
        <w:pStyle w:val="ListParagraph"/>
        <w:widowControl w:val="0"/>
        <w:autoSpaceDE w:val="0"/>
        <w:autoSpaceDN w:val="0"/>
        <w:spacing w:before="0" w:after="0"/>
        <w:ind w:left="567" w:firstLine="0"/>
        <w:contextualSpacing/>
      </w:pPr>
    </w:p>
    <w:p w14:paraId="394F5561" w14:textId="77777777" w:rsidR="00B20C0A" w:rsidRPr="00B20C0A" w:rsidRDefault="00B20C0A" w:rsidP="00B20C0A">
      <w:pPr>
        <w:pStyle w:val="ListParagraph"/>
        <w:widowControl w:val="0"/>
        <w:autoSpaceDE w:val="0"/>
        <w:autoSpaceDN w:val="0"/>
        <w:spacing w:before="0" w:after="0"/>
        <w:ind w:left="567" w:firstLine="0"/>
        <w:contextualSpacing/>
      </w:pPr>
      <w:r w:rsidRPr="00B20C0A">
        <w:t>In respect of materials and documents filed and submitted in relation to our listing application including those filed by our advisers and agents on our behalf, we hereby acknowledge that both the Exchange and the Commission will have unrestricted access to such materials and documents, and on this basis, the Exchange will be regarded as having discharged the above duty of filing such materials and documents with the Commission on our behalf as and when such materials and documents are filed and submitted.</w:t>
      </w:r>
    </w:p>
    <w:p w14:paraId="338B3BB0" w14:textId="77777777" w:rsidR="00B20C0A" w:rsidRPr="00B20C0A" w:rsidRDefault="00B20C0A" w:rsidP="00B20C0A">
      <w:pPr>
        <w:pStyle w:val="ListParagraph"/>
        <w:widowControl w:val="0"/>
        <w:autoSpaceDE w:val="0"/>
        <w:autoSpaceDN w:val="0"/>
        <w:spacing w:before="0" w:after="0"/>
        <w:ind w:left="567" w:firstLine="0"/>
        <w:contextualSpacing/>
      </w:pPr>
    </w:p>
    <w:p w14:paraId="7F7D936B" w14:textId="77777777" w:rsidR="00B20C0A" w:rsidRPr="00B20C0A" w:rsidRDefault="00B20C0A" w:rsidP="00B20C0A">
      <w:pPr>
        <w:pStyle w:val="ListParagraph"/>
        <w:widowControl w:val="0"/>
        <w:autoSpaceDE w:val="0"/>
        <w:autoSpaceDN w:val="0"/>
        <w:spacing w:before="0" w:after="0"/>
        <w:ind w:left="567" w:firstLine="0"/>
        <w:contextualSpacing/>
      </w:pPr>
      <w:r w:rsidRPr="00B20C0A">
        <w:t xml:space="preserve">If our securities become listed on the Exchange, we will be required to file certain announcements, statements, circulars, or other documents made or issued by us or on our behalf to the public or to holders of our securities with the Commission under sections 7(1) and (2) of the </w:t>
      </w:r>
      <w:r w:rsidRPr="00B20C0A">
        <w:rPr>
          <w:rFonts w:ascii="Arial" w:eastAsia="Arial" w:hAnsi="Arial" w:cs="Arial"/>
          <w:lang w:val="en-US" w:eastAsia="zh-TW" w:bidi="zh-TW"/>
        </w:rPr>
        <w:t>SML Rules</w:t>
      </w:r>
      <w:r w:rsidRPr="00B20C0A">
        <w:t xml:space="preserve">. Under section 7(3) of the </w:t>
      </w:r>
      <w:r w:rsidRPr="00B20C0A">
        <w:rPr>
          <w:rFonts w:ascii="Arial" w:eastAsia="Arial" w:hAnsi="Arial" w:cs="Arial"/>
          <w:lang w:val="en-US" w:eastAsia="zh-TW" w:bidi="zh-TW"/>
        </w:rPr>
        <w:t>SML Rules</w:t>
      </w:r>
      <w:r w:rsidRPr="00B20C0A">
        <w:t xml:space="preserve">, we hereby authorise the Exchange to file all such documents with the Commission on our behalf as and when we file them with the Exchange. </w:t>
      </w:r>
    </w:p>
    <w:p w14:paraId="0F8D70D3" w14:textId="77777777" w:rsidR="00B20C0A" w:rsidRPr="00B20C0A" w:rsidRDefault="00B20C0A" w:rsidP="00B20C0A">
      <w:pPr>
        <w:pStyle w:val="ListParagraph"/>
        <w:widowControl w:val="0"/>
        <w:autoSpaceDE w:val="0"/>
        <w:autoSpaceDN w:val="0"/>
        <w:spacing w:before="0" w:after="0"/>
        <w:ind w:left="567" w:firstLine="0"/>
        <w:contextualSpacing/>
      </w:pPr>
    </w:p>
    <w:p w14:paraId="402E195B" w14:textId="77777777" w:rsidR="00B20C0A" w:rsidRPr="00B20C0A" w:rsidRDefault="00B20C0A" w:rsidP="00B20C0A">
      <w:pPr>
        <w:pStyle w:val="ListParagraph"/>
        <w:widowControl w:val="0"/>
        <w:autoSpaceDE w:val="0"/>
        <w:autoSpaceDN w:val="0"/>
        <w:spacing w:before="0" w:after="0"/>
        <w:ind w:left="567" w:firstLine="0"/>
        <w:contextualSpacing/>
      </w:pPr>
      <w:r w:rsidRPr="00B20C0A">
        <w:t xml:space="preserve">All documents </w:t>
      </w:r>
      <w:proofErr w:type="gramStart"/>
      <w:r w:rsidRPr="00B20C0A">
        <w:t>aforementioned shall</w:t>
      </w:r>
      <w:proofErr w:type="gramEnd"/>
      <w:r w:rsidRPr="00B20C0A">
        <w:t xml:space="preserve"> be filed with the Exchange in such manner as the Exchange may from time to time prescribe. </w:t>
      </w:r>
    </w:p>
    <w:p w14:paraId="438F9592" w14:textId="77777777" w:rsidR="00B20C0A" w:rsidRPr="00B20C0A" w:rsidRDefault="00B20C0A" w:rsidP="00B20C0A">
      <w:pPr>
        <w:pStyle w:val="ListParagraph"/>
        <w:widowControl w:val="0"/>
        <w:autoSpaceDE w:val="0"/>
        <w:autoSpaceDN w:val="0"/>
        <w:spacing w:before="0" w:after="0"/>
        <w:ind w:left="567" w:firstLine="0"/>
        <w:contextualSpacing/>
      </w:pPr>
    </w:p>
    <w:p w14:paraId="7669CFE3" w14:textId="77777777" w:rsidR="00B20C0A" w:rsidRPr="00B20C0A" w:rsidRDefault="00B20C0A" w:rsidP="00B20C0A">
      <w:pPr>
        <w:pStyle w:val="ListParagraph"/>
        <w:widowControl w:val="0"/>
        <w:autoSpaceDE w:val="0"/>
        <w:autoSpaceDN w:val="0"/>
        <w:spacing w:before="0" w:after="0"/>
        <w:ind w:left="567" w:firstLine="0"/>
        <w:contextualSpacing/>
      </w:pPr>
      <w:r w:rsidRPr="00B20C0A">
        <w:t>This authorisation shall not be altered or revoked in any way unless prior written approval has been obtained from the Exchange and the Exchange shall have the absolute discretion to grant such approval. In addition, we undertake to execute such documents in favour of the Exchange perfecting the above authorisation as the Exchange may require.</w:t>
      </w:r>
    </w:p>
    <w:p w14:paraId="54592D1A" w14:textId="77777777" w:rsidR="00B20C0A" w:rsidRPr="00B20C0A" w:rsidRDefault="00B20C0A" w:rsidP="00B20C0A">
      <w:pPr>
        <w:pStyle w:val="ListParagraph"/>
        <w:widowControl w:val="0"/>
        <w:autoSpaceDE w:val="0"/>
        <w:autoSpaceDN w:val="0"/>
        <w:spacing w:before="0" w:after="0"/>
        <w:ind w:left="567" w:firstLine="0"/>
        <w:contextualSpacing/>
        <w:rPr>
          <w:rFonts w:ascii="Arial" w:eastAsia="Arial" w:hAnsi="Arial" w:cs="Arial"/>
          <w:lang w:val="en-US" w:eastAsia="zh-TW" w:bidi="zh-TW"/>
        </w:rPr>
      </w:pPr>
    </w:p>
    <w:p w14:paraId="7C241F2D" w14:textId="77777777" w:rsidR="00B20C0A" w:rsidRPr="00B20C0A" w:rsidRDefault="00B20C0A" w:rsidP="00B20C0A">
      <w:pPr>
        <w:widowControl w:val="0"/>
        <w:autoSpaceDE w:val="0"/>
        <w:autoSpaceDN w:val="0"/>
        <w:spacing w:before="0" w:after="0"/>
        <w:ind w:left="720" w:firstLine="5092"/>
        <w:contextualSpacing/>
        <w:jc w:val="left"/>
        <w:rPr>
          <w:rFonts w:ascii="Arial" w:eastAsia="Arial" w:hAnsi="Arial" w:cs="Arial"/>
          <w:lang w:val="en-US" w:eastAsia="zh-TW" w:bidi="zh-TW"/>
        </w:rPr>
      </w:pPr>
      <w:r w:rsidRPr="00B20C0A">
        <w:rPr>
          <w:rFonts w:ascii="Arial" w:eastAsia="Arial" w:hAnsi="Arial" w:cs="Arial"/>
          <w:lang w:val="en-US" w:eastAsia="zh-TW" w:bidi="zh-TW"/>
        </w:rPr>
        <w:t>Yours faithfully,</w:t>
      </w:r>
    </w:p>
    <w:p w14:paraId="10CCEE4C"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20DE9149"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15784F6D"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438BBB06"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6292B862"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31B87453"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r w:rsidRPr="00B20C0A">
        <w:rPr>
          <w:rFonts w:ascii="Arial" w:eastAsia="Arial" w:hAnsi="Arial" w:cs="Arial"/>
          <w:lang w:val="en-US" w:eastAsia="zh-TW" w:bidi="zh-TW"/>
        </w:rPr>
        <w:t xml:space="preserve">. . . . . . . . . . . . . . . . . . . . . . . . . . . . . . . . </w:t>
      </w:r>
    </w:p>
    <w:p w14:paraId="0C535D23"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7528B80A" w14:textId="77777777" w:rsidR="00B20C0A" w:rsidRPr="00B20C0A" w:rsidRDefault="00B20C0A" w:rsidP="00B20C0A">
      <w:pPr>
        <w:widowControl w:val="0"/>
        <w:autoSpaceDE w:val="0"/>
        <w:autoSpaceDN w:val="0"/>
        <w:spacing w:before="0" w:after="0"/>
        <w:ind w:left="720" w:hanging="11"/>
        <w:contextualSpacing/>
        <w:jc w:val="right"/>
        <w:rPr>
          <w:rFonts w:ascii="Arial" w:eastAsia="Arial" w:hAnsi="Arial" w:cs="Arial"/>
          <w:lang w:val="en-US" w:eastAsia="zh-TW" w:bidi="zh-TW"/>
        </w:rPr>
      </w:pPr>
    </w:p>
    <w:p w14:paraId="36295DE8" w14:textId="77777777" w:rsidR="00B20C0A" w:rsidRPr="00B20C0A" w:rsidRDefault="00B20C0A" w:rsidP="00B20C0A">
      <w:pPr>
        <w:widowControl w:val="0"/>
        <w:autoSpaceDE w:val="0"/>
        <w:autoSpaceDN w:val="0"/>
        <w:spacing w:before="0" w:after="0"/>
        <w:ind w:left="5812" w:hanging="11"/>
        <w:contextualSpacing/>
        <w:jc w:val="left"/>
        <w:rPr>
          <w:rFonts w:ascii="Arial" w:eastAsia="Arial" w:hAnsi="Arial" w:cs="Arial"/>
          <w:lang w:val="en-US" w:eastAsia="zh-TW" w:bidi="zh-TW"/>
        </w:rPr>
      </w:pPr>
      <w:r w:rsidRPr="00B20C0A">
        <w:rPr>
          <w:rFonts w:ascii="Arial" w:eastAsia="Arial" w:hAnsi="Arial" w:cs="Arial"/>
          <w:lang w:val="en-US" w:eastAsia="zh-TW" w:bidi="zh-TW"/>
        </w:rPr>
        <w:t>Name:</w:t>
      </w:r>
    </w:p>
    <w:p w14:paraId="6C0453F0" w14:textId="77777777" w:rsidR="00B20C0A" w:rsidRPr="00B20C0A" w:rsidRDefault="00B20C0A" w:rsidP="00B20C0A">
      <w:pPr>
        <w:widowControl w:val="0"/>
        <w:autoSpaceDE w:val="0"/>
        <w:autoSpaceDN w:val="0"/>
        <w:spacing w:before="0" w:after="0"/>
        <w:ind w:left="5812" w:hanging="11"/>
        <w:contextualSpacing/>
        <w:jc w:val="left"/>
        <w:rPr>
          <w:rFonts w:ascii="Arial" w:eastAsia="Arial" w:hAnsi="Arial" w:cs="Arial"/>
          <w:lang w:val="en-US" w:eastAsia="zh-TW" w:bidi="zh-TW"/>
        </w:rPr>
      </w:pPr>
      <w:r w:rsidRPr="00B20C0A">
        <w:rPr>
          <w:rFonts w:ascii="Arial" w:eastAsia="Arial" w:hAnsi="Arial" w:cs="Arial"/>
          <w:lang w:val="en-US" w:eastAsia="zh-TW" w:bidi="zh-TW"/>
        </w:rPr>
        <w:t>Director, for and on behalf of [Issuer’s Name]</w:t>
      </w:r>
    </w:p>
    <w:p w14:paraId="7D15030A" w14:textId="77777777" w:rsidR="00B20C0A" w:rsidRPr="00B20C0A" w:rsidRDefault="00B20C0A" w:rsidP="00B20C0A">
      <w:pPr>
        <w:spacing w:before="0" w:after="160" w:line="259" w:lineRule="auto"/>
        <w:jc w:val="left"/>
        <w:rPr>
          <w:rFonts w:ascii="Arial" w:eastAsia="Arial" w:hAnsi="Arial" w:cs="Arial"/>
          <w:lang w:val="en-US" w:eastAsia="zh-TW" w:bidi="zh-TW"/>
        </w:rPr>
      </w:pPr>
      <w:r w:rsidRPr="00B20C0A">
        <w:rPr>
          <w:rFonts w:ascii="Arial" w:eastAsia="Arial" w:hAnsi="Arial" w:cs="Arial"/>
          <w:lang w:val="en-US" w:eastAsia="zh-TW" w:bidi="zh-TW"/>
        </w:rPr>
        <w:br w:type="page"/>
      </w:r>
    </w:p>
    <w:p w14:paraId="2A22835B" w14:textId="77777777" w:rsidR="00B20C0A" w:rsidRPr="00B20C0A" w:rsidRDefault="00B20C0A" w:rsidP="00B20C0A">
      <w:pPr>
        <w:widowControl w:val="0"/>
        <w:autoSpaceDE w:val="0"/>
        <w:autoSpaceDN w:val="0"/>
        <w:spacing w:before="0" w:after="0"/>
        <w:contextualSpacing/>
        <w:jc w:val="center"/>
        <w:rPr>
          <w:rFonts w:ascii="Arial" w:eastAsia="Arial" w:hAnsi="Arial" w:cs="Arial"/>
          <w:lang w:val="en-US" w:eastAsia="zh-TW" w:bidi="zh-TW"/>
        </w:rPr>
      </w:pPr>
      <w:r w:rsidRPr="00B20C0A">
        <w:rPr>
          <w:rFonts w:ascii="Arial" w:eastAsia="Arial" w:hAnsi="Arial" w:cs="Arial"/>
          <w:lang w:val="en-US" w:eastAsia="zh-TW" w:bidi="zh-TW"/>
        </w:rPr>
        <w:lastRenderedPageBreak/>
        <w:t>DECLARATION OF DIRECTORS AND SUPERVISORS</w:t>
      </w:r>
    </w:p>
    <w:p w14:paraId="0916031E" w14:textId="77777777" w:rsidR="00B20C0A" w:rsidRPr="00B20C0A" w:rsidRDefault="00B20C0A" w:rsidP="00B20C0A">
      <w:pPr>
        <w:widowControl w:val="0"/>
        <w:autoSpaceDE w:val="0"/>
        <w:autoSpaceDN w:val="0"/>
        <w:spacing w:before="0" w:after="0"/>
        <w:ind w:left="720"/>
        <w:contextualSpacing/>
        <w:jc w:val="right"/>
        <w:rPr>
          <w:rFonts w:ascii="Arial" w:eastAsia="Arial" w:hAnsi="Arial" w:cs="Arial"/>
          <w:lang w:val="en-US" w:eastAsia="zh-TW" w:bidi="zh-TW"/>
        </w:rPr>
      </w:pPr>
    </w:p>
    <w:p w14:paraId="2C824D32" w14:textId="77777777" w:rsidR="00B20C0A" w:rsidRPr="00B20C0A" w:rsidRDefault="00B20C0A" w:rsidP="00B20C0A">
      <w:pPr>
        <w:spacing w:before="0" w:after="160" w:line="259" w:lineRule="auto"/>
      </w:pPr>
      <w:r w:rsidRPr="00B20C0A">
        <w:t xml:space="preserve">The undersigned jointly and individually declare to the best of our knowledge, </w:t>
      </w:r>
      <w:proofErr w:type="gramStart"/>
      <w:r w:rsidRPr="00B20C0A">
        <w:t>information</w:t>
      </w:r>
      <w:proofErr w:type="gramEnd"/>
      <w:r w:rsidRPr="00B20C0A">
        <w:t xml:space="preserve"> and belief that all qualifications for a transfer of listing </w:t>
      </w:r>
      <w:r w:rsidRPr="00B20C0A">
        <w:rPr>
          <w:rFonts w:ascii="Arial" w:eastAsia="Arial" w:hAnsi="Arial" w:cs="Arial"/>
          <w:lang w:val="en-US" w:eastAsia="zh-TW" w:bidi="zh-TW"/>
        </w:rPr>
        <w:t>to the Main Board of the Exchange set out in the relevant chapters of the Listing Rules</w:t>
      </w:r>
      <w:r w:rsidRPr="00B20C0A">
        <w:t xml:space="preserve"> have, insofar as applicable, been fulfilled in relation to the Issuer and the securities of the Issuer. </w:t>
      </w:r>
    </w:p>
    <w:p w14:paraId="1DD852F4" w14:textId="77777777" w:rsidR="00B20C0A" w:rsidRPr="00B20C0A" w:rsidRDefault="00B20C0A" w:rsidP="00B20C0A">
      <w:pPr>
        <w:spacing w:before="0" w:after="160" w:line="259" w:lineRule="auto"/>
        <w:jc w:val="left"/>
        <w:rPr>
          <w:i/>
        </w:rPr>
      </w:pPr>
    </w:p>
    <w:p w14:paraId="0EF321AD"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205FA4D2"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1042BDE5"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6B7BB71B"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042C7A80"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3964455C"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56C5B17D"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7936E4CB"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49F43E86"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3A0F8168"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7FE44DBE"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74875F7E"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08674D27"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7E0785B0"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01A0BDCF"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0E9E4DE6"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6A1F1DA9"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46C1CF12"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1431D2A3"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 xml:space="preserve">Signed </w:t>
      </w:r>
      <w:proofErr w:type="gramStart"/>
      <w:r w:rsidRPr="00B20C0A">
        <w:rPr>
          <w:rFonts w:ascii="Arial" w:eastAsia="Arial" w:hAnsi="Arial" w:cs="Arial"/>
          <w:lang w:val="en-US" w:eastAsia="zh-TW" w:bidi="zh-TW"/>
        </w:rPr>
        <w:t>by :</w:t>
      </w:r>
      <w:proofErr w:type="gramEnd"/>
      <w:r w:rsidRPr="00B20C0A">
        <w:rPr>
          <w:rFonts w:ascii="Arial" w:eastAsia="Arial" w:hAnsi="Arial" w:cs="Arial"/>
          <w:lang w:val="en-US" w:eastAsia="zh-TW" w:bidi="zh-TW"/>
        </w:rPr>
        <w:t xml:space="preserve"> . . . . . . . . . . . . . . . . . . . . . . . . . . . . . . . . . . . .</w:t>
      </w:r>
    </w:p>
    <w:p w14:paraId="566A7CAC"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[Name of Director/Supervisor], [Date]</w:t>
      </w:r>
    </w:p>
    <w:p w14:paraId="4E3DBAEF"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3139449B"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r w:rsidRPr="00B20C0A">
        <w:rPr>
          <w:rFonts w:ascii="Arial" w:eastAsia="Arial" w:hAnsi="Arial" w:cs="Arial"/>
          <w:lang w:val="en-US" w:eastAsia="zh-TW" w:bidi="zh-TW"/>
        </w:rPr>
        <w:t>(Note 3)</w:t>
      </w:r>
    </w:p>
    <w:p w14:paraId="7D09C9B8" w14:textId="77777777" w:rsidR="00B20C0A" w:rsidRPr="00B20C0A" w:rsidRDefault="00B20C0A" w:rsidP="00B20C0A">
      <w:pPr>
        <w:widowControl w:val="0"/>
        <w:autoSpaceDE w:val="0"/>
        <w:autoSpaceDN w:val="0"/>
        <w:spacing w:before="0" w:after="0"/>
        <w:jc w:val="right"/>
        <w:rPr>
          <w:rFonts w:ascii="Arial" w:eastAsia="Arial" w:hAnsi="Arial" w:cs="Arial"/>
          <w:lang w:val="en-US" w:eastAsia="zh-TW" w:bidi="zh-TW"/>
        </w:rPr>
      </w:pPr>
    </w:p>
    <w:p w14:paraId="7B8C88C2" w14:textId="77777777" w:rsidR="00B20C0A" w:rsidRPr="00B20C0A" w:rsidRDefault="00B20C0A" w:rsidP="00B20C0A">
      <w:pPr>
        <w:spacing w:before="0" w:after="160"/>
        <w:jc w:val="left"/>
        <w:rPr>
          <w:rFonts w:ascii="Arial" w:eastAsia="Arial" w:hAnsi="Arial" w:cs="Arial"/>
          <w:lang w:val="en-US" w:eastAsia="zh-TW" w:bidi="zh-TW"/>
        </w:rPr>
      </w:pPr>
      <w:r w:rsidRPr="00B20C0A">
        <w:rPr>
          <w:rFonts w:ascii="Arial" w:eastAsia="Arial" w:hAnsi="Arial" w:cs="Arial"/>
          <w:lang w:val="en-US" w:eastAsia="zh-TW" w:bidi="zh-TW"/>
        </w:rPr>
        <w:br w:type="page"/>
      </w:r>
    </w:p>
    <w:p w14:paraId="5967707D" w14:textId="77777777" w:rsidR="00B20C0A" w:rsidRPr="00B20C0A" w:rsidRDefault="00B20C0A" w:rsidP="00B20C0A">
      <w:pPr>
        <w:widowControl w:val="0"/>
        <w:autoSpaceDE w:val="0"/>
        <w:autoSpaceDN w:val="0"/>
        <w:spacing w:before="0" w:after="0"/>
        <w:jc w:val="center"/>
        <w:rPr>
          <w:rFonts w:ascii="Arial" w:eastAsia="Arial" w:hAnsi="Arial" w:cs="Arial"/>
          <w:b/>
          <w:lang w:val="en-US" w:eastAsia="zh-TW" w:bidi="zh-TW"/>
        </w:rPr>
      </w:pPr>
      <w:r w:rsidRPr="00B20C0A">
        <w:rPr>
          <w:rFonts w:ascii="Arial" w:eastAsia="Arial" w:hAnsi="Arial" w:cs="Arial"/>
          <w:b/>
          <w:lang w:val="en-US" w:eastAsia="zh-TW" w:bidi="zh-TW"/>
        </w:rPr>
        <w:lastRenderedPageBreak/>
        <w:t>NOTES</w:t>
      </w:r>
    </w:p>
    <w:p w14:paraId="7053488B" w14:textId="77777777" w:rsidR="00B20C0A" w:rsidRPr="00B20C0A" w:rsidRDefault="00B20C0A" w:rsidP="00B20C0A">
      <w:pPr>
        <w:widowControl w:val="0"/>
        <w:autoSpaceDE w:val="0"/>
        <w:autoSpaceDN w:val="0"/>
        <w:spacing w:before="0" w:after="0"/>
        <w:jc w:val="left"/>
        <w:rPr>
          <w:rFonts w:ascii="Arial" w:eastAsia="Arial" w:hAnsi="Arial" w:cs="Arial"/>
          <w:b/>
          <w:lang w:val="en-US" w:eastAsia="zh-TW" w:bidi="zh-T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8047"/>
      </w:tblGrid>
      <w:tr w:rsidR="00B20C0A" w:rsidRPr="00B20C0A" w14:paraId="1D5E6FF8" w14:textId="77777777" w:rsidTr="00AF5B1F">
        <w:tc>
          <w:tcPr>
            <w:tcW w:w="993" w:type="dxa"/>
          </w:tcPr>
          <w:p w14:paraId="4612F43B" w14:textId="77777777" w:rsidR="00B20C0A" w:rsidRPr="00B20C0A" w:rsidRDefault="00B20C0A" w:rsidP="00AF5B1F">
            <w:pPr>
              <w:widowControl w:val="0"/>
              <w:autoSpaceDE w:val="0"/>
              <w:autoSpaceDN w:val="0"/>
              <w:jc w:val="left"/>
              <w:rPr>
                <w:rFonts w:ascii="Arial" w:eastAsia="Arial" w:hAnsi="Arial" w:cs="Arial"/>
                <w:b/>
                <w:lang w:eastAsia="zh-TW" w:bidi="zh-TW"/>
              </w:rPr>
            </w:pPr>
            <w:r w:rsidRPr="00B20C0A">
              <w:rPr>
                <w:rFonts w:ascii="Arial" w:eastAsia="Arial" w:hAnsi="Arial" w:cs="Arial"/>
                <w:i/>
                <w:lang w:eastAsia="zh-TW" w:bidi="zh-TW"/>
              </w:rPr>
              <w:t>Note 1</w:t>
            </w:r>
          </w:p>
        </w:tc>
        <w:tc>
          <w:tcPr>
            <w:tcW w:w="8357" w:type="dxa"/>
          </w:tcPr>
          <w:p w14:paraId="60305F76" w14:textId="77777777" w:rsidR="00B20C0A" w:rsidRPr="00B20C0A" w:rsidRDefault="00B20C0A" w:rsidP="00AF5B1F">
            <w:pPr>
              <w:widowControl w:val="0"/>
              <w:autoSpaceDE w:val="0"/>
              <w:autoSpaceDN w:val="0"/>
              <w:rPr>
                <w:rFonts w:ascii="Arial" w:eastAsia="Arial" w:hAnsi="Arial" w:cs="Arial"/>
                <w:i/>
                <w:lang w:eastAsia="zh-TW" w:bidi="zh-TW"/>
              </w:rPr>
            </w:pPr>
            <w:r w:rsidRPr="00B20C0A">
              <w:rPr>
                <w:rFonts w:ascii="Arial" w:eastAsia="Arial" w:hAnsi="Arial" w:cs="Arial"/>
                <w:i/>
                <w:lang w:eastAsia="zh-TW" w:bidi="zh-TW"/>
              </w:rPr>
              <w:t>Insert name of issuer of securities. If it is an overseas issuer, the place of incorporation or other establishment and the applicable law under which it is incorporated or otherwise established must be stated.</w:t>
            </w:r>
          </w:p>
          <w:p w14:paraId="3ACB1E84" w14:textId="77777777" w:rsidR="00B20C0A" w:rsidRPr="00B20C0A" w:rsidRDefault="00B20C0A" w:rsidP="00AF5B1F">
            <w:pPr>
              <w:widowControl w:val="0"/>
              <w:autoSpaceDE w:val="0"/>
              <w:autoSpaceDN w:val="0"/>
              <w:jc w:val="left"/>
              <w:rPr>
                <w:rFonts w:ascii="Arial" w:eastAsia="Arial" w:hAnsi="Arial" w:cs="Arial"/>
                <w:b/>
                <w:lang w:eastAsia="zh-TW" w:bidi="zh-TW"/>
              </w:rPr>
            </w:pPr>
          </w:p>
        </w:tc>
      </w:tr>
      <w:tr w:rsidR="00B20C0A" w:rsidRPr="00B20C0A" w14:paraId="3D80AE1F" w14:textId="77777777" w:rsidTr="00AF5B1F">
        <w:tc>
          <w:tcPr>
            <w:tcW w:w="993" w:type="dxa"/>
          </w:tcPr>
          <w:p w14:paraId="4AFA318B" w14:textId="77777777" w:rsidR="00B20C0A" w:rsidRPr="00B20C0A" w:rsidRDefault="00B20C0A" w:rsidP="00AF5B1F">
            <w:pPr>
              <w:widowControl w:val="0"/>
              <w:autoSpaceDE w:val="0"/>
              <w:autoSpaceDN w:val="0"/>
              <w:jc w:val="left"/>
              <w:rPr>
                <w:rFonts w:ascii="Arial" w:eastAsia="Arial" w:hAnsi="Arial" w:cs="Arial"/>
                <w:b/>
                <w:lang w:eastAsia="zh-TW" w:bidi="zh-TW"/>
              </w:rPr>
            </w:pPr>
            <w:r w:rsidRPr="00B20C0A">
              <w:rPr>
                <w:rFonts w:ascii="Arial" w:eastAsia="Arial" w:hAnsi="Arial" w:cs="Arial"/>
                <w:i/>
                <w:lang w:eastAsia="zh-TW" w:bidi="zh-TW"/>
              </w:rPr>
              <w:t>Note 2</w:t>
            </w:r>
          </w:p>
        </w:tc>
        <w:tc>
          <w:tcPr>
            <w:tcW w:w="8357" w:type="dxa"/>
          </w:tcPr>
          <w:p w14:paraId="7B4B8107" w14:textId="77777777" w:rsidR="00B20C0A" w:rsidRPr="00B20C0A" w:rsidRDefault="00B20C0A" w:rsidP="00AF5B1F">
            <w:pPr>
              <w:widowControl w:val="0"/>
              <w:autoSpaceDE w:val="0"/>
              <w:autoSpaceDN w:val="0"/>
              <w:rPr>
                <w:rFonts w:ascii="Arial" w:eastAsia="Arial" w:hAnsi="Arial" w:cs="Arial"/>
                <w:i/>
                <w:lang w:eastAsia="zh-TW" w:bidi="zh-TW"/>
              </w:rPr>
            </w:pPr>
            <w:r w:rsidRPr="00B20C0A">
              <w:rPr>
                <w:rFonts w:ascii="Arial" w:eastAsia="Arial" w:hAnsi="Arial" w:cs="Arial"/>
                <w:i/>
                <w:lang w:eastAsia="zh-TW" w:bidi="zh-TW"/>
              </w:rPr>
              <w:t xml:space="preserve">These paragraphs apply only to companies </w:t>
            </w:r>
            <w:proofErr w:type="gramStart"/>
            <w:r w:rsidRPr="00B20C0A">
              <w:rPr>
                <w:rFonts w:ascii="Arial" w:eastAsia="Arial" w:hAnsi="Arial" w:cs="Arial"/>
                <w:i/>
                <w:lang w:eastAsia="zh-TW" w:bidi="zh-TW"/>
              </w:rPr>
              <w:t>and:-</w:t>
            </w:r>
            <w:proofErr w:type="gramEnd"/>
          </w:p>
          <w:p w14:paraId="1AA1DA16" w14:textId="77777777" w:rsidR="00B20C0A" w:rsidRPr="00B20C0A" w:rsidRDefault="00B20C0A" w:rsidP="00AF5B1F">
            <w:pPr>
              <w:widowControl w:val="0"/>
              <w:autoSpaceDE w:val="0"/>
              <w:autoSpaceDN w:val="0"/>
              <w:rPr>
                <w:rFonts w:ascii="Arial" w:eastAsia="Arial" w:hAnsi="Arial" w:cs="Arial"/>
                <w:i/>
                <w:lang w:eastAsia="zh-TW" w:bidi="zh-TW"/>
              </w:rPr>
            </w:pPr>
          </w:p>
          <w:p w14:paraId="4E38513D" w14:textId="77777777" w:rsidR="00B20C0A" w:rsidRPr="00B20C0A" w:rsidRDefault="00B20C0A" w:rsidP="00AF5B1F">
            <w:pPr>
              <w:widowControl w:val="0"/>
              <w:autoSpaceDE w:val="0"/>
              <w:autoSpaceDN w:val="0"/>
              <w:rPr>
                <w:rFonts w:ascii="Arial" w:eastAsia="Arial" w:hAnsi="Arial" w:cs="Arial"/>
                <w:i/>
                <w:lang w:eastAsia="zh-TW" w:bidi="zh-TW"/>
              </w:rPr>
            </w:pPr>
            <w:r w:rsidRPr="00B20C0A">
              <w:rPr>
                <w:rFonts w:ascii="Arial" w:eastAsia="Arial" w:hAnsi="Arial" w:cs="Arial"/>
                <w:i/>
                <w:lang w:eastAsia="zh-TW" w:bidi="zh-TW"/>
              </w:rPr>
              <w:t>“</w:t>
            </w:r>
            <w:proofErr w:type="gramStart"/>
            <w:r w:rsidRPr="00B20C0A">
              <w:rPr>
                <w:rFonts w:ascii="Arial" w:eastAsia="Arial" w:hAnsi="Arial" w:cs="Arial"/>
                <w:i/>
                <w:lang w:eastAsia="zh-TW" w:bidi="zh-TW"/>
              </w:rPr>
              <w:t>chief</w:t>
            </w:r>
            <w:proofErr w:type="gramEnd"/>
            <w:r w:rsidRPr="00B20C0A">
              <w:rPr>
                <w:rFonts w:ascii="Arial" w:eastAsia="Arial" w:hAnsi="Arial" w:cs="Arial"/>
                <w:i/>
                <w:lang w:eastAsia="zh-TW" w:bidi="zh-TW"/>
              </w:rPr>
              <w:t xml:space="preserve"> executive” means a person who either alone or together with one or more other persons is or will be responsible under the immediate authority of the board of directors for the conduct of the business of the issuer.</w:t>
            </w:r>
          </w:p>
          <w:p w14:paraId="6191636E" w14:textId="77777777" w:rsidR="00B20C0A" w:rsidRPr="00B20C0A" w:rsidRDefault="00B20C0A" w:rsidP="00AF5B1F">
            <w:pPr>
              <w:widowControl w:val="0"/>
              <w:autoSpaceDE w:val="0"/>
              <w:autoSpaceDN w:val="0"/>
              <w:rPr>
                <w:rFonts w:ascii="Arial" w:eastAsia="Arial" w:hAnsi="Arial" w:cs="Arial"/>
                <w:i/>
                <w:lang w:eastAsia="zh-TW" w:bidi="zh-TW"/>
              </w:rPr>
            </w:pPr>
          </w:p>
          <w:p w14:paraId="21A05DBC" w14:textId="77777777" w:rsidR="00B20C0A" w:rsidRPr="00B20C0A" w:rsidRDefault="00B20C0A" w:rsidP="00AF5B1F">
            <w:pPr>
              <w:widowControl w:val="0"/>
              <w:autoSpaceDE w:val="0"/>
              <w:autoSpaceDN w:val="0"/>
              <w:rPr>
                <w:rFonts w:ascii="Arial" w:eastAsia="Arial" w:hAnsi="Arial" w:cs="Arial"/>
                <w:i/>
                <w:lang w:eastAsia="zh-TW" w:bidi="zh-TW"/>
              </w:rPr>
            </w:pPr>
            <w:r w:rsidRPr="00B20C0A">
              <w:rPr>
                <w:rFonts w:ascii="Arial" w:eastAsia="Arial" w:hAnsi="Arial" w:cs="Arial"/>
                <w:i/>
                <w:lang w:eastAsia="zh-TW" w:bidi="zh-TW"/>
              </w:rPr>
              <w:t>“</w:t>
            </w:r>
            <w:proofErr w:type="gramStart"/>
            <w:r w:rsidRPr="00B20C0A">
              <w:rPr>
                <w:rFonts w:ascii="Arial" w:eastAsia="Arial" w:hAnsi="Arial" w:cs="Arial"/>
                <w:i/>
                <w:lang w:eastAsia="zh-TW" w:bidi="zh-TW"/>
              </w:rPr>
              <w:t>substantial</w:t>
            </w:r>
            <w:proofErr w:type="gramEnd"/>
            <w:r w:rsidRPr="00B20C0A">
              <w:rPr>
                <w:rFonts w:ascii="Arial" w:eastAsia="Arial" w:hAnsi="Arial" w:cs="Arial"/>
                <w:i/>
                <w:lang w:eastAsia="zh-TW" w:bidi="zh-TW"/>
              </w:rPr>
              <w:t xml:space="preserve"> shareholder” means a person entitled to exercise, or control the exercise of, 10% or more of the voting power at any general meeting of the issuer.</w:t>
            </w:r>
          </w:p>
          <w:p w14:paraId="2038C8EB" w14:textId="77777777" w:rsidR="00B20C0A" w:rsidRPr="00B20C0A" w:rsidRDefault="00B20C0A" w:rsidP="00AF5B1F">
            <w:pPr>
              <w:widowControl w:val="0"/>
              <w:autoSpaceDE w:val="0"/>
              <w:autoSpaceDN w:val="0"/>
              <w:rPr>
                <w:rFonts w:ascii="Arial" w:eastAsia="Arial" w:hAnsi="Arial" w:cs="Arial"/>
                <w:i/>
                <w:lang w:eastAsia="zh-TW" w:bidi="zh-TW"/>
              </w:rPr>
            </w:pPr>
          </w:p>
        </w:tc>
      </w:tr>
      <w:tr w:rsidR="00B20C0A" w:rsidRPr="00B20C0A" w14:paraId="1DB3BB2D" w14:textId="77777777" w:rsidTr="00AF5B1F">
        <w:tc>
          <w:tcPr>
            <w:tcW w:w="993" w:type="dxa"/>
          </w:tcPr>
          <w:p w14:paraId="0CA4B16F" w14:textId="77777777" w:rsidR="00B20C0A" w:rsidRPr="00B20C0A" w:rsidRDefault="00B20C0A" w:rsidP="00AF5B1F">
            <w:pPr>
              <w:widowControl w:val="0"/>
              <w:autoSpaceDE w:val="0"/>
              <w:autoSpaceDN w:val="0"/>
              <w:jc w:val="left"/>
              <w:rPr>
                <w:rFonts w:ascii="Arial" w:eastAsia="Arial" w:hAnsi="Arial" w:cs="Arial"/>
                <w:b/>
                <w:lang w:eastAsia="zh-TW" w:bidi="zh-TW"/>
              </w:rPr>
            </w:pPr>
            <w:r w:rsidRPr="00B20C0A">
              <w:rPr>
                <w:rFonts w:ascii="Arial" w:eastAsia="Arial" w:hAnsi="Arial" w:cs="Arial"/>
                <w:i/>
                <w:lang w:eastAsia="zh-TW" w:bidi="zh-TW"/>
              </w:rPr>
              <w:t>Note 3</w:t>
            </w:r>
          </w:p>
        </w:tc>
        <w:tc>
          <w:tcPr>
            <w:tcW w:w="8357" w:type="dxa"/>
          </w:tcPr>
          <w:p w14:paraId="25379E75" w14:textId="77777777" w:rsidR="00B20C0A" w:rsidRPr="00B20C0A" w:rsidRDefault="00B20C0A" w:rsidP="00AF5B1F">
            <w:pPr>
              <w:widowControl w:val="0"/>
              <w:autoSpaceDE w:val="0"/>
              <w:autoSpaceDN w:val="0"/>
              <w:rPr>
                <w:rFonts w:ascii="Arial" w:eastAsia="Arial" w:hAnsi="Arial" w:cs="Arial"/>
                <w:i/>
                <w:lang w:eastAsia="zh-TW" w:bidi="zh-TW"/>
              </w:rPr>
            </w:pPr>
            <w:r w:rsidRPr="00B20C0A">
              <w:rPr>
                <w:rFonts w:ascii="Arial" w:eastAsia="Arial" w:hAnsi="Arial" w:cs="Arial"/>
                <w:i/>
                <w:lang w:eastAsia="zh-TW" w:bidi="zh-TW"/>
              </w:rPr>
              <w:t>This form must be signed by all directors and supervisors (if any) of the issuer.</w:t>
            </w:r>
          </w:p>
          <w:p w14:paraId="61C6ABA5" w14:textId="77777777" w:rsidR="00B20C0A" w:rsidRPr="00B20C0A" w:rsidRDefault="00B20C0A" w:rsidP="00AF5B1F">
            <w:pPr>
              <w:widowControl w:val="0"/>
              <w:autoSpaceDE w:val="0"/>
              <w:autoSpaceDN w:val="0"/>
              <w:jc w:val="left"/>
              <w:rPr>
                <w:rFonts w:ascii="Arial" w:eastAsia="Arial" w:hAnsi="Arial" w:cs="Arial"/>
                <w:b/>
                <w:lang w:eastAsia="zh-TW" w:bidi="zh-TW"/>
              </w:rPr>
            </w:pPr>
          </w:p>
        </w:tc>
      </w:tr>
    </w:tbl>
    <w:p w14:paraId="132065D9" w14:textId="77777777" w:rsidR="00E15580" w:rsidRPr="00B20C0A" w:rsidRDefault="00E15580"/>
    <w:sectPr w:rsidR="00E15580" w:rsidRPr="00B20C0A" w:rsidSect="00885228">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F788" w14:textId="77777777" w:rsidR="00B20C0A" w:rsidRDefault="00B20C0A" w:rsidP="00B20C0A">
      <w:pPr>
        <w:spacing w:before="0" w:after="0" w:line="240" w:lineRule="auto"/>
      </w:pPr>
      <w:r>
        <w:separator/>
      </w:r>
    </w:p>
  </w:endnote>
  <w:endnote w:type="continuationSeparator" w:id="0">
    <w:p w14:paraId="658B4346" w14:textId="77777777" w:rsidR="00B20C0A" w:rsidRDefault="00B20C0A" w:rsidP="00B20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7469447"/>
      <w:docPartObj>
        <w:docPartGallery w:val="Page Numbers (Bottom of Page)"/>
        <w:docPartUnique/>
      </w:docPartObj>
    </w:sdtPr>
    <w:sdtEndPr>
      <w:rPr>
        <w:rFonts w:ascii="Arial" w:hAnsi="Arial" w:cs="Arial"/>
        <w:noProof/>
        <w:sz w:val="22"/>
        <w:szCs w:val="22"/>
      </w:rPr>
    </w:sdtEndPr>
    <w:sdtContent>
      <w:p w14:paraId="6BA180AF" w14:textId="0A79336C" w:rsidR="00885228" w:rsidRDefault="00885228" w:rsidP="00885228">
        <w:pPr>
          <w:pStyle w:val="Footer"/>
          <w:jc w:val="right"/>
          <w:rPr>
            <w:sz w:val="18"/>
            <w:szCs w:val="18"/>
          </w:rPr>
        </w:pPr>
        <w:r>
          <w:t>Dec 2023</w:t>
        </w:r>
      </w:p>
      <w:p w14:paraId="524EE232" w14:textId="4C0EB779" w:rsidR="00B20C0A" w:rsidRPr="00B20C0A" w:rsidRDefault="00885228" w:rsidP="00B20C0A">
        <w:pPr>
          <w:pStyle w:val="Footer"/>
          <w:jc w:val="center"/>
          <w:rPr>
            <w:sz w:val="18"/>
            <w:szCs w:val="18"/>
          </w:rPr>
        </w:pPr>
        <w:r>
          <w:t xml:space="preserve">T103 - </w:t>
        </w:r>
        <w:r w:rsidR="00B20C0A" w:rsidRPr="00885228">
          <w:rPr>
            <w:rFonts w:ascii="Arial" w:hAnsi="Arial" w:cs="Arial"/>
          </w:rPr>
          <w:fldChar w:fldCharType="begin"/>
        </w:r>
        <w:r w:rsidR="00B20C0A" w:rsidRPr="00885228">
          <w:rPr>
            <w:rFonts w:ascii="Arial" w:hAnsi="Arial" w:cs="Arial"/>
          </w:rPr>
          <w:instrText xml:space="preserve"> PAGE   \* MERGEFORMAT </w:instrText>
        </w:r>
        <w:r w:rsidR="00B20C0A" w:rsidRPr="00885228">
          <w:rPr>
            <w:rFonts w:ascii="Arial" w:hAnsi="Arial" w:cs="Arial"/>
          </w:rPr>
          <w:fldChar w:fldCharType="separate"/>
        </w:r>
        <w:r w:rsidR="00B20C0A" w:rsidRPr="00885228">
          <w:rPr>
            <w:rFonts w:ascii="Arial" w:hAnsi="Arial" w:cs="Arial"/>
            <w:noProof/>
          </w:rPr>
          <w:t>2</w:t>
        </w:r>
        <w:r w:rsidR="00B20C0A" w:rsidRPr="00885228">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4DE" w14:textId="77777777" w:rsidR="00885228" w:rsidRDefault="00885228" w:rsidP="00885228">
    <w:pPr>
      <w:pStyle w:val="Footer"/>
      <w:jc w:val="right"/>
    </w:pPr>
  </w:p>
  <w:p w14:paraId="1078C4DB" w14:textId="45263B31" w:rsidR="00885228" w:rsidRDefault="00885228" w:rsidP="00885228">
    <w:pPr>
      <w:pStyle w:val="Footer"/>
      <w:jc w:val="right"/>
    </w:pPr>
    <w:r>
      <w:t>Dec 2023</w:t>
    </w:r>
  </w:p>
  <w:p w14:paraId="036613B8" w14:textId="16387F4F" w:rsidR="00885228" w:rsidRDefault="00885228">
    <w:pPr>
      <w:pStyle w:val="Footer"/>
      <w:jc w:val="center"/>
    </w:pPr>
    <w:r>
      <w:t xml:space="preserve">T103 - </w:t>
    </w:r>
    <w:sdt>
      <w:sdtPr>
        <w:id w:val="17439761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CC22E8" w14:textId="77777777" w:rsidR="00885228" w:rsidRDefault="0088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C5C6" w14:textId="77777777" w:rsidR="00B20C0A" w:rsidRDefault="00B20C0A" w:rsidP="00B20C0A">
      <w:pPr>
        <w:spacing w:before="0" w:after="0" w:line="240" w:lineRule="auto"/>
      </w:pPr>
      <w:r>
        <w:separator/>
      </w:r>
    </w:p>
  </w:footnote>
  <w:footnote w:type="continuationSeparator" w:id="0">
    <w:p w14:paraId="773D554B" w14:textId="77777777" w:rsidR="00B20C0A" w:rsidRDefault="00B20C0A" w:rsidP="00B20C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801B" w14:textId="744EC384" w:rsidR="00885228" w:rsidRPr="00DB0D73" w:rsidRDefault="00885228" w:rsidP="00885228">
    <w:pPr>
      <w:pStyle w:val="Header"/>
      <w:tabs>
        <w:tab w:val="right" w:pos="9639"/>
      </w:tabs>
      <w:rPr>
        <w:rFonts w:ascii="Arial" w:eastAsia="SimSun" w:hAnsi="Arial" w:cs="Arial"/>
      </w:rPr>
    </w:pPr>
    <w:r>
      <w:rPr>
        <w:rFonts w:ascii="Arial" w:hAnsi="Arial" w:cs="Arial"/>
        <w:b/>
      </w:rPr>
      <w:t>T</w:t>
    </w:r>
    <w:r w:rsidRPr="0047240B">
      <w:rPr>
        <w:rFonts w:ascii="Arial" w:hAnsi="Arial" w:cs="Arial"/>
        <w:b/>
      </w:rPr>
      <w:t>HE STOCK EXCHANGE OF HONG KONG LIMITED</w:t>
    </w:r>
    <w:r>
      <w:rPr>
        <w:rFonts w:ascii="Arial" w:hAnsi="Arial" w:cs="Arial"/>
        <w:b/>
      </w:rPr>
      <w:tab/>
    </w:r>
    <w:r>
      <w:rPr>
        <w:rFonts w:ascii="Arial" w:hAnsi="Arial" w:cs="Arial"/>
      </w:rPr>
      <w:t>T103</w:t>
    </w:r>
  </w:p>
  <w:p w14:paraId="39267D7A" w14:textId="37786824" w:rsidR="00885228" w:rsidRPr="00DB0D73" w:rsidRDefault="00885228" w:rsidP="00885228">
    <w:pPr>
      <w:pStyle w:val="Header"/>
      <w:tabs>
        <w:tab w:val="right" w:pos="9639"/>
      </w:tabs>
      <w:rPr>
        <w:rFonts w:ascii="Arial" w:hAnsi="Arial" w:cs="Arial"/>
        <w:iCs/>
        <w:lang w:val="en-US"/>
      </w:rPr>
    </w:pPr>
    <w:r w:rsidRPr="00FB5BEF">
      <w:rPr>
        <w:rFonts w:ascii="Arial" w:hAnsi="Arial" w:cs="Arial"/>
        <w:iCs/>
        <w:sz w:val="16"/>
        <w:szCs w:val="16"/>
        <w:lang w:val="en-US"/>
      </w:rPr>
      <w:t xml:space="preserve">(A </w:t>
    </w:r>
    <w:proofErr w:type="gramStart"/>
    <w:r w:rsidRPr="00FB5BEF">
      <w:rPr>
        <w:rFonts w:ascii="Arial" w:hAnsi="Arial" w:cs="Arial"/>
        <w:iCs/>
        <w:sz w:val="16"/>
        <w:szCs w:val="16"/>
        <w:lang w:val="en-US"/>
      </w:rPr>
      <w:t>wholly-owned</w:t>
    </w:r>
    <w:proofErr w:type="gramEnd"/>
    <w:r w:rsidRPr="00FB5BEF">
      <w:rPr>
        <w:rFonts w:ascii="Arial" w:hAnsi="Arial" w:cs="Arial"/>
        <w:iCs/>
        <w:sz w:val="16"/>
        <w:szCs w:val="16"/>
        <w:lang w:val="en-US"/>
      </w:rPr>
      <w:t xml:space="preserve"> subsidiary of Hong Kong Exchanges and Clearing Limited)</w:t>
    </w:r>
    <w:r>
      <w:rPr>
        <w:rFonts w:ascii="Arial" w:hAnsi="Arial" w:cs="Arial"/>
        <w:iCs/>
        <w:sz w:val="16"/>
        <w:szCs w:val="16"/>
        <w:lang w:val="en-US"/>
      </w:rPr>
      <w:tab/>
    </w:r>
    <w:r w:rsidRPr="00885228">
      <w:rPr>
        <w:rFonts w:ascii="Arial" w:hAnsi="Arial" w:cs="Arial"/>
        <w:iCs/>
        <w:lang w:val="en-US"/>
      </w:rPr>
      <w:t>Form G</w:t>
    </w:r>
  </w:p>
  <w:p w14:paraId="3D04E304" w14:textId="77777777" w:rsidR="00B20C0A" w:rsidRDefault="00B20C0A">
    <w:pPr>
      <w:pStyle w:val="Header"/>
      <w:rPr>
        <w:lang w:val="en-US"/>
      </w:rPr>
    </w:pPr>
  </w:p>
  <w:p w14:paraId="1686695F" w14:textId="77777777" w:rsidR="00885228" w:rsidRPr="00885228" w:rsidRDefault="0088522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E234" w14:textId="77777777" w:rsidR="00885228" w:rsidRDefault="00885228" w:rsidP="00885228">
    <w:pPr>
      <w:jc w:val="left"/>
      <w:rPr>
        <w:noProof/>
        <w:lang w:val="en-US"/>
      </w:rPr>
    </w:pPr>
    <w:r>
      <w:rPr>
        <w:noProof/>
        <w:lang w:val="en-US"/>
      </w:rPr>
      <w:drawing>
        <wp:inline distT="0" distB="0" distL="0" distR="0" wp14:anchorId="32D724FA" wp14:editId="02B25B99">
          <wp:extent cx="1266825" cy="695325"/>
          <wp:effectExtent l="0" t="0" r="9525" b="9525"/>
          <wp:docPr id="679573267" name="Picture 679573267"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72976"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95325"/>
                  </a:xfrm>
                  <a:prstGeom prst="rect">
                    <a:avLst/>
                  </a:prstGeom>
                  <a:noFill/>
                  <a:ln>
                    <a:noFill/>
                  </a:ln>
                </pic:spPr>
              </pic:pic>
            </a:graphicData>
          </a:graphic>
        </wp:inline>
      </w:drawing>
    </w:r>
  </w:p>
  <w:p w14:paraId="7578397E" w14:textId="6244611F" w:rsidR="00885228" w:rsidRPr="00885228" w:rsidRDefault="00885228" w:rsidP="00885228">
    <w:pPr>
      <w:pStyle w:val="Header"/>
      <w:tabs>
        <w:tab w:val="right" w:pos="9639"/>
      </w:tabs>
      <w:rPr>
        <w:rFonts w:ascii="Arial" w:hAnsi="Arial" w:cs="Arial"/>
      </w:rPr>
    </w:pPr>
    <w:r>
      <w:rPr>
        <w:rFonts w:ascii="Arial" w:hAnsi="Arial" w:cs="Arial"/>
        <w:b/>
      </w:rPr>
      <w:t>T</w:t>
    </w:r>
    <w:r w:rsidRPr="0047240B">
      <w:rPr>
        <w:rFonts w:ascii="Arial" w:hAnsi="Arial" w:cs="Arial"/>
        <w:b/>
      </w:rPr>
      <w:t>HE STOCK EXCHANGE OF HONG KONG LIMITED</w:t>
    </w:r>
    <w:r>
      <w:rPr>
        <w:rFonts w:ascii="Arial" w:hAnsi="Arial" w:cs="Arial"/>
        <w:b/>
      </w:rPr>
      <w:tab/>
    </w:r>
    <w:r>
      <w:rPr>
        <w:rFonts w:ascii="Arial" w:hAnsi="Arial" w:cs="Arial"/>
      </w:rPr>
      <w:t>T103</w:t>
    </w:r>
  </w:p>
  <w:p w14:paraId="2442D44C" w14:textId="36E7C3D5" w:rsidR="00885228" w:rsidRPr="00DB0D73" w:rsidRDefault="00885228" w:rsidP="00885228">
    <w:pPr>
      <w:pStyle w:val="Header"/>
      <w:tabs>
        <w:tab w:val="right" w:pos="9639"/>
      </w:tabs>
      <w:rPr>
        <w:rFonts w:ascii="Arial" w:hAnsi="Arial" w:cs="Arial"/>
        <w:iCs/>
        <w:lang w:val="en-US"/>
      </w:rPr>
    </w:pPr>
    <w:r w:rsidRPr="00FB5BEF">
      <w:rPr>
        <w:rFonts w:ascii="Arial" w:hAnsi="Arial" w:cs="Arial"/>
        <w:iCs/>
        <w:sz w:val="16"/>
        <w:szCs w:val="16"/>
        <w:lang w:val="en-US"/>
      </w:rPr>
      <w:t xml:space="preserve">(A </w:t>
    </w:r>
    <w:proofErr w:type="gramStart"/>
    <w:r w:rsidRPr="00FB5BEF">
      <w:rPr>
        <w:rFonts w:ascii="Arial" w:hAnsi="Arial" w:cs="Arial"/>
        <w:iCs/>
        <w:sz w:val="16"/>
        <w:szCs w:val="16"/>
        <w:lang w:val="en-US"/>
      </w:rPr>
      <w:t>wholly-owned</w:t>
    </w:r>
    <w:proofErr w:type="gramEnd"/>
    <w:r w:rsidRPr="00FB5BEF">
      <w:rPr>
        <w:rFonts w:ascii="Arial" w:hAnsi="Arial" w:cs="Arial"/>
        <w:iCs/>
        <w:sz w:val="16"/>
        <w:szCs w:val="16"/>
        <w:lang w:val="en-US"/>
      </w:rPr>
      <w:t xml:space="preserve"> subsidiary of Hong Kong Exchanges and Clearing Limited)</w:t>
    </w:r>
    <w:r>
      <w:rPr>
        <w:rFonts w:ascii="Arial" w:hAnsi="Arial" w:cs="Arial"/>
        <w:iCs/>
        <w:sz w:val="16"/>
        <w:szCs w:val="16"/>
        <w:lang w:val="en-US"/>
      </w:rPr>
      <w:tab/>
    </w:r>
    <w:r w:rsidRPr="00885228">
      <w:rPr>
        <w:rFonts w:ascii="Arial" w:hAnsi="Arial" w:cs="Arial"/>
        <w:iCs/>
        <w:lang w:val="en-US"/>
      </w:rPr>
      <w:t>Form G</w:t>
    </w:r>
  </w:p>
  <w:p w14:paraId="4A487B02" w14:textId="77777777" w:rsidR="00B20C0A" w:rsidRPr="00885228" w:rsidRDefault="00B20C0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B4F"/>
    <w:multiLevelType w:val="hybridMultilevel"/>
    <w:tmpl w:val="14EA9A88"/>
    <w:lvl w:ilvl="0" w:tplc="E5404606">
      <w:start w:val="1"/>
      <w:numFmt w:val="decimal"/>
      <w:lvlText w:val="(%1)"/>
      <w:lvlJc w:val="left"/>
      <w:pPr>
        <w:ind w:left="1134" w:hanging="567"/>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785246"/>
    <w:multiLevelType w:val="hybridMultilevel"/>
    <w:tmpl w:val="6F2080FC"/>
    <w:lvl w:ilvl="0" w:tplc="C7BC2796">
      <w:start w:val="1"/>
      <w:numFmt w:val="decimal"/>
      <w:lvlText w:val="%1."/>
      <w:lvlJc w:val="left"/>
      <w:pPr>
        <w:ind w:left="567" w:hanging="567"/>
      </w:pPr>
      <w:rPr>
        <w:rFonts w:hint="default"/>
        <w:color w:val="231F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D3E77"/>
    <w:multiLevelType w:val="hybridMultilevel"/>
    <w:tmpl w:val="5ADE7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812899">
    <w:abstractNumId w:val="1"/>
  </w:num>
  <w:num w:numId="2" w16cid:durableId="1093361367">
    <w:abstractNumId w:val="0"/>
  </w:num>
  <w:num w:numId="3" w16cid:durableId="1377700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0A"/>
    <w:rsid w:val="002561A2"/>
    <w:rsid w:val="0026023B"/>
    <w:rsid w:val="002F74BA"/>
    <w:rsid w:val="00885228"/>
    <w:rsid w:val="00B20C0A"/>
    <w:rsid w:val="00C73F9C"/>
    <w:rsid w:val="00D67A4F"/>
    <w:rsid w:val="00E15580"/>
    <w:rsid w:val="00F779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9D19"/>
  <w15:chartTrackingRefBased/>
  <w15:docId w15:val="{45B0BAE8-C384-43DD-B0E9-F15DDA3C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0A"/>
    <w:pPr>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0C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20C0A"/>
  </w:style>
  <w:style w:type="paragraph" w:styleId="Footer">
    <w:name w:val="footer"/>
    <w:basedOn w:val="Normal"/>
    <w:link w:val="FooterChar"/>
    <w:uiPriority w:val="99"/>
    <w:unhideWhenUsed/>
    <w:rsid w:val="00B20C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20C0A"/>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B20C0A"/>
    <w:pPr>
      <w:ind w:left="576" w:hanging="576"/>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rsid w:val="00B20C0A"/>
    <w:rPr>
      <w:kern w:val="0"/>
      <w14:ligatures w14:val="none"/>
    </w:rPr>
  </w:style>
  <w:style w:type="table" w:customStyle="1" w:styleId="TableGrid1">
    <w:name w:val="Table Grid1"/>
    <w:basedOn w:val="TableNormal"/>
    <w:next w:val="TableGrid"/>
    <w:uiPriority w:val="39"/>
    <w:rsid w:val="00B20C0A"/>
    <w:pPr>
      <w:spacing w:before="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0C0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KEX">
      <a:dk1>
        <a:sysClr val="windowText" lastClr="000000"/>
      </a:dk1>
      <a:lt1>
        <a:sysClr val="window" lastClr="FFFFFF"/>
      </a:lt1>
      <a:dk2>
        <a:srgbClr val="FEDD00"/>
      </a:dk2>
      <a:lt2>
        <a:srgbClr val="F4364C"/>
      </a:lt2>
      <a:accent1>
        <a:srgbClr val="13426B"/>
      </a:accent1>
      <a:accent2>
        <a:srgbClr val="25CAD3"/>
      </a:accent2>
      <a:accent3>
        <a:srgbClr val="FFB81C"/>
      </a:accent3>
      <a:accent4>
        <a:srgbClr val="41748D"/>
      </a:accent4>
      <a:accent5>
        <a:srgbClr val="B5E3D8"/>
      </a:accent5>
      <a:accent6>
        <a:srgbClr val="5E366E"/>
      </a:accent6>
      <a:hlink>
        <a:srgbClr val="13426B"/>
      </a:hlink>
      <a:folHlink>
        <a:srgbClr val="4174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BE7-9945-423F-B7CB-A74DDF86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1206</Words>
  <Characters>6876</Characters>
  <Application>Microsoft Office Word</Application>
  <DocSecurity>0</DocSecurity>
  <Lines>57</Lines>
  <Paragraphs>16</Paragraphs>
  <ScaleCrop>false</ScaleCrop>
  <Company>Hong Kong Exchanges and Clearing</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Szeto</dc:creator>
  <cp:keywords/>
  <dc:description/>
  <cp:lastModifiedBy>May Mark</cp:lastModifiedBy>
  <cp:revision>4</cp:revision>
  <dcterms:created xsi:type="dcterms:W3CDTF">2023-12-01T02:30:00Z</dcterms:created>
  <dcterms:modified xsi:type="dcterms:W3CDTF">2023-12-20T07:19:00Z</dcterms:modified>
</cp:coreProperties>
</file>