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9" w:rsidRPr="00B12E26" w:rsidRDefault="00C210F2" w:rsidP="004F5688">
      <w:pPr>
        <w:widowControl/>
        <w:snapToGrid w:val="0"/>
        <w:jc w:val="center"/>
        <w:rPr>
          <w:rFonts w:ascii="Arial" w:hAnsi="Arial" w:cs="Arial"/>
          <w:b/>
          <w:bCs/>
          <w:kern w:val="0"/>
          <w:sz w:val="22"/>
          <w:lang w:eastAsia="zh-CN"/>
        </w:rPr>
      </w:pPr>
      <w:r w:rsidRPr="00B12E26">
        <w:rPr>
          <w:rFonts w:ascii="Arial" w:hAnsi="Arial" w:cs="Arial"/>
          <w:b/>
          <w:bCs/>
          <w:kern w:val="0"/>
          <w:szCs w:val="26"/>
          <w:lang w:eastAsia="zh-CN"/>
        </w:rPr>
        <w:t xml:space="preserve">Declaration Form </w:t>
      </w:r>
      <w:r w:rsidR="00C43B83" w:rsidRPr="00B12E26">
        <w:rPr>
          <w:rFonts w:ascii="Arial" w:hAnsi="Arial" w:cs="Arial"/>
          <w:b/>
          <w:bCs/>
          <w:kern w:val="0"/>
          <w:szCs w:val="26"/>
          <w:lang w:eastAsia="zh-CN"/>
        </w:rPr>
        <w:t>for</w:t>
      </w:r>
      <w:r w:rsidRPr="00B12E26">
        <w:rPr>
          <w:rFonts w:ascii="Arial" w:hAnsi="Arial" w:cs="Arial"/>
          <w:b/>
          <w:bCs/>
          <w:kern w:val="0"/>
          <w:szCs w:val="26"/>
          <w:lang w:eastAsia="zh-CN"/>
        </w:rPr>
        <w:t xml:space="preserve"> </w:t>
      </w:r>
      <w:r w:rsidR="00AB69FA" w:rsidRPr="00B12E26">
        <w:rPr>
          <w:rFonts w:ascii="Arial" w:hAnsi="Arial" w:cs="Arial"/>
          <w:b/>
          <w:bCs/>
          <w:kern w:val="0"/>
          <w:szCs w:val="26"/>
          <w:lang w:eastAsia="zh-CN"/>
        </w:rPr>
        <w:t xml:space="preserve">Readiness </w:t>
      </w:r>
      <w:r w:rsidR="00D2392F" w:rsidRPr="00B12E26">
        <w:rPr>
          <w:rFonts w:ascii="Arial" w:hAnsi="Arial" w:cs="Arial"/>
          <w:b/>
          <w:bCs/>
          <w:kern w:val="0"/>
          <w:szCs w:val="26"/>
          <w:lang w:eastAsia="zh-CN"/>
        </w:rPr>
        <w:t>(</w:t>
      </w:r>
      <w:r w:rsidR="00AC1C94" w:rsidRPr="00B12E26">
        <w:rPr>
          <w:rFonts w:ascii="Arial" w:hAnsi="Arial" w:cs="Arial"/>
          <w:b/>
          <w:bCs/>
          <w:kern w:val="0"/>
          <w:szCs w:val="26"/>
          <w:lang w:eastAsia="zh-CN"/>
        </w:rPr>
        <w:t>Using Independent Software Vendor</w:t>
      </w:r>
      <w:r w:rsidR="00B61676" w:rsidRPr="00B12E26">
        <w:rPr>
          <w:rFonts w:ascii="Arial" w:hAnsi="Arial" w:cs="Arial"/>
          <w:b/>
          <w:bCs/>
          <w:kern w:val="0"/>
          <w:szCs w:val="26"/>
          <w:lang w:eastAsia="zh-CN"/>
        </w:rPr>
        <w:t>’s</w:t>
      </w:r>
      <w:r w:rsidR="00AC1C94" w:rsidRPr="00B12E26">
        <w:rPr>
          <w:rFonts w:ascii="Arial" w:hAnsi="Arial" w:cs="Arial"/>
          <w:b/>
          <w:bCs/>
          <w:kern w:val="0"/>
          <w:szCs w:val="26"/>
          <w:lang w:eastAsia="zh-CN"/>
        </w:rPr>
        <w:t xml:space="preserve"> Software</w:t>
      </w:r>
      <w:r w:rsidR="00D2392F" w:rsidRPr="00B12E26">
        <w:rPr>
          <w:rFonts w:ascii="Arial" w:hAnsi="Arial" w:cs="Arial"/>
          <w:b/>
          <w:bCs/>
          <w:kern w:val="0"/>
          <w:szCs w:val="26"/>
          <w:lang w:eastAsia="zh-CN"/>
        </w:rPr>
        <w:t>)</w:t>
      </w:r>
      <w:r w:rsidR="00AD4B49" w:rsidRPr="00B12E26">
        <w:rPr>
          <w:rFonts w:ascii="Arial" w:hAnsi="Arial" w:cs="Arial"/>
          <w:b/>
          <w:bCs/>
          <w:kern w:val="0"/>
          <w:lang w:eastAsia="zh-CN"/>
        </w:rPr>
        <w:br/>
      </w:r>
      <w:r w:rsidR="00AD4B49" w:rsidRPr="00B12E26">
        <w:rPr>
          <w:rFonts w:ascii="Arial" w:hAnsi="Arial" w:cs="Arial"/>
          <w:b/>
          <w:bCs/>
          <w:kern w:val="0"/>
          <w:sz w:val="22"/>
          <w:lang w:eastAsia="zh-CN"/>
        </w:rPr>
        <w:t>Securities and Derivatives Market Data</w:t>
      </w:r>
    </w:p>
    <w:p w:rsidR="00AD4B49" w:rsidRPr="00B12E26" w:rsidRDefault="00AD4B49" w:rsidP="00AD4B49">
      <w:pPr>
        <w:jc w:val="center"/>
        <w:rPr>
          <w:rStyle w:val="CommentReference"/>
          <w:rFonts w:ascii="Arial" w:hAnsi="Arial" w:cs="Arial"/>
          <w:b/>
          <w:bCs/>
          <w:kern w:val="0"/>
          <w:sz w:val="22"/>
          <w:szCs w:val="24"/>
          <w:lang w:eastAsia="zh-CN"/>
        </w:rPr>
      </w:pPr>
      <w:r w:rsidRPr="00B12E26">
        <w:rPr>
          <w:rStyle w:val="CommentReference"/>
          <w:rFonts w:ascii="Arial" w:hAnsi="Arial" w:cs="Arial"/>
          <w:b/>
          <w:bCs/>
          <w:kern w:val="0"/>
          <w:sz w:val="22"/>
          <w:szCs w:val="24"/>
          <w:lang w:eastAsia="zh-CN"/>
        </w:rPr>
        <w:t xml:space="preserve">(for Real-time </w:t>
      </w:r>
      <w:r w:rsidR="005C2350" w:rsidRPr="00B12E26">
        <w:rPr>
          <w:rStyle w:val="CommentReference"/>
          <w:rFonts w:ascii="Arial" w:hAnsi="Arial" w:cs="Arial"/>
          <w:b/>
          <w:bCs/>
          <w:kern w:val="0"/>
          <w:sz w:val="22"/>
          <w:szCs w:val="24"/>
          <w:lang w:eastAsia="zh-CN"/>
        </w:rPr>
        <w:t>Information</w:t>
      </w:r>
      <w:r w:rsidRPr="00B12E26">
        <w:rPr>
          <w:rStyle w:val="CommentReference"/>
          <w:rFonts w:ascii="Arial" w:hAnsi="Arial" w:cs="Arial"/>
          <w:b/>
          <w:bCs/>
          <w:kern w:val="0"/>
          <w:sz w:val="22"/>
          <w:szCs w:val="24"/>
          <w:lang w:eastAsia="zh-CN"/>
        </w:rPr>
        <w:t xml:space="preserve"> Vendors &amp; End</w:t>
      </w:r>
      <w:r w:rsidR="00282D86" w:rsidRPr="00B12E26">
        <w:rPr>
          <w:rStyle w:val="CommentReference"/>
          <w:rFonts w:ascii="Arial" w:hAnsi="Arial" w:cs="Arial"/>
          <w:b/>
          <w:bCs/>
          <w:kern w:val="0"/>
          <w:sz w:val="22"/>
          <w:szCs w:val="24"/>
          <w:lang w:eastAsia="zh-CN"/>
        </w:rPr>
        <w:t xml:space="preserve"> </w:t>
      </w:r>
      <w:r w:rsidRPr="00B12E26">
        <w:rPr>
          <w:rStyle w:val="CommentReference"/>
          <w:rFonts w:ascii="Arial" w:hAnsi="Arial" w:cs="Arial"/>
          <w:b/>
          <w:bCs/>
          <w:kern w:val="0"/>
          <w:sz w:val="22"/>
          <w:szCs w:val="24"/>
          <w:lang w:eastAsia="zh-CN"/>
        </w:rPr>
        <w:t>Users)</w:t>
      </w:r>
    </w:p>
    <w:p w:rsidR="00AD4B49" w:rsidRPr="00B12E26" w:rsidRDefault="00AD4B49" w:rsidP="00AD4B49">
      <w:pPr>
        <w:tabs>
          <w:tab w:val="left" w:pos="993"/>
        </w:tabs>
        <w:snapToGrid w:val="0"/>
        <w:rPr>
          <w:rStyle w:val="CommentReference"/>
          <w:rFonts w:ascii="Arial" w:hAnsi="Arial" w:cs="Arial"/>
          <w:sz w:val="24"/>
          <w:szCs w:val="20"/>
          <w:lang w:val="fr-FR"/>
        </w:rPr>
      </w:pP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 xml:space="preserve">To: </w:t>
      </w: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ab/>
      </w: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ab/>
      </w:r>
      <w:r w:rsidR="00966F98" w:rsidRPr="00B12E26">
        <w:rPr>
          <w:rStyle w:val="CommentReference"/>
          <w:rFonts w:ascii="Arial" w:hAnsi="Arial" w:cs="Arial"/>
          <w:sz w:val="24"/>
          <w:szCs w:val="20"/>
          <w:lang w:val="fr-FR"/>
        </w:rPr>
        <w:t>Data Connectivity and Support</w:t>
      </w: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 xml:space="preserve">, Market Data, Global Markets, </w:t>
      </w:r>
      <w:r w:rsidR="0001074E" w:rsidRPr="00B12E26">
        <w:rPr>
          <w:rStyle w:val="CommentReference"/>
          <w:rFonts w:ascii="Arial" w:hAnsi="Arial" w:cs="Arial"/>
          <w:sz w:val="24"/>
          <w:szCs w:val="20"/>
          <w:lang w:val="fr-FR"/>
        </w:rPr>
        <w:t>HKEX</w:t>
      </w: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ab/>
      </w:r>
    </w:p>
    <w:p w:rsidR="00AD4B49" w:rsidRPr="00B12E26" w:rsidRDefault="00AD4B49" w:rsidP="00AD4B49">
      <w:pPr>
        <w:tabs>
          <w:tab w:val="left" w:pos="993"/>
        </w:tabs>
        <w:snapToGrid w:val="0"/>
        <w:rPr>
          <w:rFonts w:ascii="Arial" w:eastAsia="????" w:hAnsi="Arial" w:cs="Arial"/>
          <w:sz w:val="22"/>
          <w:szCs w:val="20"/>
          <w:lang w:val="fr-FR"/>
        </w:rPr>
      </w:pP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 xml:space="preserve">Email : </w:t>
      </w: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ab/>
      </w: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ab/>
      </w:r>
      <w:r w:rsidRPr="00B12E26">
        <w:rPr>
          <w:rStyle w:val="Hyperlink"/>
          <w:rFonts w:ascii="Arial" w:hAnsi="Arial" w:cs="Arial"/>
          <w:szCs w:val="20"/>
          <w:lang w:val="fr-FR"/>
        </w:rPr>
        <w:t>IVSupport@hkex.com.hk</w:t>
      </w:r>
      <w:r w:rsidRPr="00B12E26">
        <w:rPr>
          <w:rStyle w:val="CommentReference"/>
          <w:rFonts w:ascii="Arial" w:hAnsi="Arial" w:cs="Arial"/>
          <w:sz w:val="24"/>
          <w:szCs w:val="20"/>
          <w:lang w:val="fr-FR"/>
        </w:rPr>
        <w:t xml:space="preserve"> </w:t>
      </w:r>
      <w:r w:rsidR="002A00EA">
        <w:rPr>
          <w:rFonts w:ascii="Arial" w:hAnsi="Arial" w:cs="Arial"/>
          <w:sz w:val="22"/>
          <w:szCs w:val="20"/>
        </w:rPr>
        <w:pict>
          <v:rect id="_x0000_i1025" style="width:467.75pt;height:1.5pt" o:hralign="center" o:hrstd="t" o:hrnoshade="t" o:hr="t" fillcolor="black" stroked="f"/>
        </w:pict>
      </w:r>
    </w:p>
    <w:p w:rsidR="00AD4B49" w:rsidRPr="00822C15" w:rsidRDefault="00AD4B49" w:rsidP="00AD4B49">
      <w:pPr>
        <w:pStyle w:val="BodyText3"/>
        <w:snapToGrid w:val="0"/>
        <w:rPr>
          <w:rFonts w:ascii="Arial" w:hAnsi="Arial" w:cs="Arial"/>
          <w:bCs/>
          <w:i/>
          <w:sz w:val="21"/>
          <w:szCs w:val="21"/>
        </w:rPr>
      </w:pPr>
      <w:r w:rsidRPr="00822C15">
        <w:rPr>
          <w:rFonts w:ascii="Arial" w:hAnsi="Arial" w:cs="Arial"/>
          <w:bCs/>
          <w:i/>
          <w:sz w:val="21"/>
          <w:szCs w:val="21"/>
        </w:rPr>
        <w:t xml:space="preserve">(Please return the completed form to </w:t>
      </w:r>
      <w:r w:rsidR="0001074E" w:rsidRPr="00822C15">
        <w:rPr>
          <w:rFonts w:ascii="Arial" w:hAnsi="Arial" w:cs="Arial"/>
          <w:bCs/>
          <w:i/>
          <w:sz w:val="21"/>
          <w:szCs w:val="21"/>
        </w:rPr>
        <w:t>HKEX-IS</w:t>
      </w:r>
      <w:r w:rsidRPr="00822C15">
        <w:rPr>
          <w:rFonts w:ascii="Arial" w:hAnsi="Arial" w:cs="Arial"/>
          <w:bCs/>
          <w:i/>
          <w:sz w:val="21"/>
          <w:szCs w:val="21"/>
        </w:rPr>
        <w:t xml:space="preserve"> by e-mail) </w:t>
      </w:r>
      <w:r w:rsidR="00957A1E" w:rsidRPr="00822C15">
        <w:rPr>
          <w:rFonts w:ascii="Arial" w:hAnsi="Arial" w:cs="Arial"/>
          <w:bCs/>
          <w:i/>
          <w:sz w:val="21"/>
          <w:szCs w:val="21"/>
        </w:rPr>
        <w:br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D56AD" w:rsidRPr="000E46FE" w:rsidTr="006D79F0">
        <w:tc>
          <w:tcPr>
            <w:tcW w:w="10065" w:type="dxa"/>
            <w:shd w:val="clear" w:color="auto" w:fill="auto"/>
          </w:tcPr>
          <w:p w:rsidR="005D56AD" w:rsidRPr="000E46FE" w:rsidRDefault="00495992" w:rsidP="006D79F0">
            <w:pPr>
              <w:pStyle w:val="BodyText3"/>
              <w:adjustRightInd w:val="0"/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</w:pPr>
            <w:r w:rsidRPr="000E46FE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>Note</w:t>
            </w:r>
            <w:r w:rsidR="00CA5CF1" w:rsidRPr="000E46FE">
              <w:rPr>
                <w:rFonts w:ascii="Arial" w:hAnsi="Arial" w:cs="Arial"/>
                <w:b/>
                <w:bCs/>
                <w:kern w:val="0"/>
                <w:sz w:val="18"/>
                <w:szCs w:val="18"/>
                <w:u w:val="single"/>
              </w:rPr>
              <w:t>s</w:t>
            </w:r>
          </w:p>
          <w:p w:rsidR="00CA5CF1" w:rsidRPr="000E46FE" w:rsidRDefault="00CA5CF1" w:rsidP="000E46FE">
            <w:pPr>
              <w:pStyle w:val="BodyText3"/>
              <w:numPr>
                <w:ilvl w:val="0"/>
                <w:numId w:val="2"/>
              </w:numPr>
              <w:adjustRightInd w:val="0"/>
              <w:snapToGrid w:val="0"/>
              <w:ind w:left="370" w:hangingChars="201" w:hanging="370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Please read carefully all the information provided before completing the form.</w:t>
            </w:r>
          </w:p>
          <w:p w:rsidR="005D56AD" w:rsidRPr="000E46FE" w:rsidRDefault="005D56AD" w:rsidP="000E46FE">
            <w:pPr>
              <w:pStyle w:val="BodyText3"/>
              <w:numPr>
                <w:ilvl w:val="0"/>
                <w:numId w:val="2"/>
              </w:numPr>
              <w:adjustRightInd w:val="0"/>
              <w:snapToGrid w:val="0"/>
              <w:ind w:left="370" w:hangingChars="201" w:hanging="370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This Form is for </w:t>
            </w:r>
            <w:r w:rsidR="002023FB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I</w:t>
            </w:r>
            <w:r w:rsidR="005C2350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nformation</w:t>
            </w:r>
            <w:r w:rsidR="00E73EFF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="002023FB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Vendors and E</w:t>
            </w:r>
            <w:r w:rsidR="007203B0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nd</w:t>
            </w:r>
            <w:r w:rsidR="00BF2C35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U</w:t>
            </w:r>
            <w:r w:rsidR="007203B0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sers</w:t>
            </w: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to declare readiness by using </w:t>
            </w:r>
            <w:r w:rsidR="002A3971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software </w:t>
            </w:r>
            <w:r w:rsidR="000E3ECC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versions </w:t>
            </w:r>
            <w:r w:rsidR="002A3971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which</w:t>
            </w:r>
            <w:r w:rsidR="00272764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="000E3ECC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are owned by an Independent Software Vendor (ISV) and </w:t>
            </w:r>
            <w:r w:rsidR="00272764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had</w:t>
            </w: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="003137B7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c</w:t>
            </w: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ompleted </w:t>
            </w:r>
            <w:r w:rsidR="00BA1D34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the </w:t>
            </w:r>
            <w:r w:rsidR="00B30F04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Certification / </w:t>
            </w: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Readiness Test.</w:t>
            </w:r>
          </w:p>
          <w:p w:rsidR="00495992" w:rsidRPr="000E46FE" w:rsidRDefault="00EB3977" w:rsidP="006D79F0">
            <w:pPr>
              <w:pStyle w:val="BodyText3"/>
              <w:numPr>
                <w:ilvl w:val="0"/>
                <w:numId w:val="2"/>
              </w:numPr>
              <w:adjustRightInd w:val="0"/>
              <w:snapToGrid w:val="0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It should be noted that t</w:t>
            </w:r>
            <w:r w:rsidR="00495992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he successful completion of the Readiness Test by a particular software version should not be regarded as any form of co-operation with, or endorsemen</w:t>
            </w: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t or authorization by </w:t>
            </w:r>
            <w:r w:rsidR="0001074E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HKEX-IS</w:t>
            </w: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. </w:t>
            </w:r>
            <w:r w:rsidR="0001074E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HKEX-IS</w:t>
            </w:r>
            <w:r w:rsidR="00495992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does not guarantee t</w:t>
            </w:r>
            <w:r w:rsidR="00324176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he relevant software’s quality, reliability and suitability for clients’ needs.</w:t>
            </w:r>
            <w:r w:rsidR="00495992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</w:p>
          <w:p w:rsidR="005D56AD" w:rsidRPr="000E46FE" w:rsidRDefault="00690C1A" w:rsidP="000E46FE">
            <w:pPr>
              <w:pStyle w:val="BodyText3"/>
              <w:numPr>
                <w:ilvl w:val="0"/>
                <w:numId w:val="2"/>
              </w:numPr>
              <w:adjustRightInd w:val="0"/>
              <w:snapToGrid w:val="0"/>
              <w:ind w:left="370" w:hangingChars="201" w:hanging="370"/>
              <w:rPr>
                <w:rFonts w:ascii="Arial" w:hAnsi="Arial" w:cs="Arial"/>
                <w:bCs/>
                <w:kern w:val="0"/>
                <w:sz w:val="18"/>
                <w:szCs w:val="18"/>
              </w:rPr>
            </w:pP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The </w:t>
            </w:r>
            <w:r w:rsidR="00D57E6C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Information Vendor / End User</w:t>
            </w:r>
            <w:r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needs to </w:t>
            </w:r>
            <w:r w:rsidR="00254D5B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inform</w:t>
            </w:r>
            <w:r w:rsidR="009369D1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="0001074E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>HKEX-IS</w:t>
            </w:r>
            <w:r w:rsidR="008A5264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</w:t>
            </w:r>
            <w:r w:rsidR="008A5264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 xml:space="preserve">when it ceases </w:t>
            </w:r>
            <w:r w:rsidR="00E02108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>to use</w:t>
            </w:r>
            <w:r w:rsidR="00957A1E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 xml:space="preserve"> th</w:t>
            </w:r>
            <w:r w:rsidR="00FD1EAB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>ese</w:t>
            </w:r>
            <w:r w:rsidR="00B46310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 xml:space="preserve"> </w:t>
            </w:r>
            <w:r w:rsidR="00957A1E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 xml:space="preserve">ISV </w:t>
            </w:r>
            <w:r w:rsidR="00B46310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>software version</w:t>
            </w:r>
            <w:r w:rsidR="00FD1EAB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>s</w:t>
            </w:r>
            <w:r w:rsidR="00B46310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 xml:space="preserve"> </w:t>
            </w:r>
            <w:r w:rsidR="00B21617" w:rsidRPr="000E46FE">
              <w:rPr>
                <w:rFonts w:ascii="Arial" w:hAnsi="Arial" w:cs="Arial"/>
                <w:noProof/>
                <w:kern w:val="0"/>
                <w:sz w:val="18"/>
                <w:szCs w:val="18"/>
              </w:rPr>
              <w:t>with</w:t>
            </w:r>
            <w:r w:rsidR="0005046C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2 weeks’ </w:t>
            </w:r>
            <w:r w:rsidR="00D41BEA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advance </w:t>
            </w:r>
            <w:r w:rsidR="0005046C" w:rsidRPr="000E46FE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notice. </w:t>
            </w:r>
          </w:p>
        </w:tc>
      </w:tr>
    </w:tbl>
    <w:p w:rsidR="00AD4B49" w:rsidRPr="000E46FE" w:rsidRDefault="00AD4B49" w:rsidP="00F96653">
      <w:pPr>
        <w:pStyle w:val="BodyText3"/>
        <w:adjustRightInd w:val="0"/>
        <w:rPr>
          <w:rFonts w:ascii="Arial" w:hAnsi="Arial" w:cs="Arial"/>
          <w:bCs/>
          <w:i/>
          <w:sz w:val="4"/>
          <w:szCs w:val="4"/>
        </w:rPr>
      </w:pPr>
    </w:p>
    <w:p w:rsidR="00E92E8B" w:rsidRPr="00822C15" w:rsidRDefault="00F369B8" w:rsidP="007C761A">
      <w:pPr>
        <w:pStyle w:val="BodyText3"/>
        <w:adjustRightInd w:val="0"/>
        <w:snapToGrid w:val="0"/>
        <w:rPr>
          <w:rFonts w:ascii="Arial" w:hAnsi="Arial" w:cs="Arial"/>
          <w:noProof/>
          <w:sz w:val="21"/>
          <w:szCs w:val="21"/>
        </w:rPr>
      </w:pPr>
      <w:r w:rsidRPr="00822C15">
        <w:rPr>
          <w:rFonts w:ascii="Arial" w:hAnsi="Arial" w:cs="Arial"/>
          <w:bCs/>
          <w:sz w:val="21"/>
          <w:szCs w:val="21"/>
        </w:rPr>
        <w:t>We,</w:t>
      </w:r>
      <w:r w:rsidR="008C1C1C" w:rsidRPr="00822C15">
        <w:rPr>
          <w:rFonts w:ascii="Arial" w:hAnsi="Arial" w:cs="Arial"/>
          <w:bCs/>
          <w:sz w:val="21"/>
          <w:szCs w:val="21"/>
        </w:rPr>
        <w:t xml:space="preserve"> &lt;</w:t>
      </w:r>
      <w:r w:rsidR="00485C5B" w:rsidRPr="00822C15">
        <w:rPr>
          <w:rFonts w:ascii="Arial" w:hAnsi="Arial" w:cs="Arial"/>
          <w:noProof/>
          <w:sz w:val="21"/>
          <w:szCs w:val="21"/>
          <w:u w:val="single"/>
        </w:rPr>
        <w:t xml:space="preserve">   </w:t>
      </w:r>
      <w:r w:rsidR="0039233D" w:rsidRPr="00822C15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33D" w:rsidRPr="00822C15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39233D" w:rsidRPr="00822C15">
        <w:rPr>
          <w:rFonts w:ascii="Arial" w:hAnsi="Arial" w:cs="Arial"/>
          <w:sz w:val="21"/>
          <w:szCs w:val="21"/>
          <w:u w:val="single"/>
        </w:rPr>
      </w:r>
      <w:r w:rsidR="0039233D" w:rsidRPr="00822C15">
        <w:rPr>
          <w:rFonts w:ascii="Arial" w:hAnsi="Arial" w:cs="Arial"/>
          <w:sz w:val="21"/>
          <w:szCs w:val="21"/>
          <w:u w:val="single"/>
        </w:rPr>
        <w:fldChar w:fldCharType="separate"/>
      </w:r>
      <w:bookmarkStart w:id="0" w:name="_GoBack"/>
      <w:bookmarkEnd w:id="0"/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fldChar w:fldCharType="end"/>
      </w:r>
      <w:r w:rsidR="0039233D" w:rsidRPr="00822C15">
        <w:rPr>
          <w:rFonts w:ascii="Arial" w:hAnsi="Arial" w:cs="Arial"/>
          <w:noProof/>
          <w:sz w:val="21"/>
          <w:szCs w:val="21"/>
          <w:u w:val="single"/>
        </w:rPr>
        <w:t xml:space="preserve">   </w:t>
      </w:r>
      <w:r w:rsidR="008C1C1C" w:rsidRPr="00822C15">
        <w:rPr>
          <w:rFonts w:ascii="Arial" w:hAnsi="Arial" w:cs="Arial"/>
          <w:noProof/>
          <w:sz w:val="21"/>
          <w:szCs w:val="21"/>
          <w:u w:val="single"/>
        </w:rPr>
        <w:t>(Company Name)</w:t>
      </w:r>
      <w:r w:rsidR="008C1C1C" w:rsidRPr="00822C15">
        <w:rPr>
          <w:rFonts w:ascii="Arial" w:hAnsi="Arial" w:cs="Arial"/>
          <w:noProof/>
          <w:sz w:val="21"/>
          <w:szCs w:val="21"/>
        </w:rPr>
        <w:t xml:space="preserve">&gt; (“the </w:t>
      </w:r>
      <w:r w:rsidR="004704D4" w:rsidRPr="00822C15">
        <w:rPr>
          <w:rFonts w:ascii="Arial" w:hAnsi="Arial" w:cs="Arial"/>
          <w:noProof/>
          <w:sz w:val="21"/>
          <w:szCs w:val="21"/>
        </w:rPr>
        <w:t>Company</w:t>
      </w:r>
      <w:r w:rsidR="008C1C1C" w:rsidRPr="00822C15">
        <w:rPr>
          <w:rFonts w:ascii="Arial" w:hAnsi="Arial" w:cs="Arial"/>
          <w:noProof/>
          <w:sz w:val="21"/>
          <w:szCs w:val="21"/>
        </w:rPr>
        <w:t xml:space="preserve">”), </w:t>
      </w:r>
      <w:r w:rsidR="00AE18FA" w:rsidRPr="00822C15">
        <w:rPr>
          <w:rFonts w:ascii="Arial" w:hAnsi="Arial" w:cs="Arial"/>
          <w:noProof/>
          <w:sz w:val="21"/>
          <w:szCs w:val="21"/>
        </w:rPr>
        <w:t xml:space="preserve">hereby declare readiness for Market Rehearsal </w:t>
      </w:r>
      <w:r w:rsidR="00290250" w:rsidRPr="00822C15">
        <w:rPr>
          <w:rFonts w:ascii="Arial" w:hAnsi="Arial" w:cs="Arial"/>
          <w:noProof/>
          <w:sz w:val="21"/>
          <w:szCs w:val="21"/>
        </w:rPr>
        <w:t>/</w:t>
      </w:r>
      <w:r w:rsidR="00B435FD" w:rsidRPr="00822C15">
        <w:rPr>
          <w:rFonts w:ascii="Arial" w:hAnsi="Arial" w:cs="Arial"/>
          <w:noProof/>
          <w:sz w:val="21"/>
          <w:szCs w:val="21"/>
        </w:rPr>
        <w:t xml:space="preserve"> Post Release Test </w:t>
      </w:r>
      <w:r w:rsidR="00AE18FA" w:rsidRPr="00822C15">
        <w:rPr>
          <w:rFonts w:ascii="Arial" w:hAnsi="Arial" w:cs="Arial"/>
          <w:noProof/>
          <w:sz w:val="21"/>
          <w:szCs w:val="21"/>
        </w:rPr>
        <w:t xml:space="preserve">for the following datafeeds by using the software versions owned by </w:t>
      </w:r>
      <w:r w:rsidR="008A5264" w:rsidRPr="00822C15">
        <w:rPr>
          <w:rFonts w:ascii="Arial" w:hAnsi="Arial" w:cs="Arial"/>
          <w:bCs/>
          <w:sz w:val="21"/>
          <w:szCs w:val="21"/>
        </w:rPr>
        <w:t>&lt;</w:t>
      </w:r>
      <w:r w:rsidR="008A5264" w:rsidRPr="00822C15">
        <w:rPr>
          <w:rFonts w:ascii="Arial" w:hAnsi="Arial" w:cs="Arial"/>
          <w:noProof/>
          <w:sz w:val="21"/>
          <w:szCs w:val="21"/>
          <w:u w:val="single"/>
        </w:rPr>
        <w:t xml:space="preserve">   </w:t>
      </w:r>
      <w:r w:rsidR="0039233D" w:rsidRPr="00822C15">
        <w:rPr>
          <w:rFonts w:ascii="Arial" w:hAnsi="Arial" w:cs="Arial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33D" w:rsidRPr="00822C15">
        <w:rPr>
          <w:rFonts w:ascii="Arial" w:hAnsi="Arial" w:cs="Arial"/>
          <w:sz w:val="21"/>
          <w:szCs w:val="21"/>
          <w:u w:val="single"/>
        </w:rPr>
        <w:instrText xml:space="preserve"> FORMTEXT </w:instrText>
      </w:r>
      <w:r w:rsidR="0039233D" w:rsidRPr="00822C15">
        <w:rPr>
          <w:rFonts w:ascii="Arial" w:hAnsi="Arial" w:cs="Arial"/>
          <w:sz w:val="21"/>
          <w:szCs w:val="21"/>
          <w:u w:val="single"/>
        </w:rPr>
      </w:r>
      <w:r w:rsidR="0039233D" w:rsidRPr="00822C15">
        <w:rPr>
          <w:rFonts w:ascii="Arial" w:hAnsi="Arial" w:cs="Arial"/>
          <w:sz w:val="21"/>
          <w:szCs w:val="21"/>
          <w:u w:val="single"/>
        </w:rPr>
        <w:fldChar w:fldCharType="separate"/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t> </w:t>
      </w:r>
      <w:r w:rsidR="0039233D" w:rsidRPr="00822C15">
        <w:rPr>
          <w:rFonts w:ascii="Arial" w:hAnsi="Arial" w:cs="Arial"/>
          <w:sz w:val="21"/>
          <w:szCs w:val="21"/>
          <w:u w:val="single"/>
        </w:rPr>
        <w:fldChar w:fldCharType="end"/>
      </w:r>
      <w:r w:rsidR="0039233D" w:rsidRPr="00822C15">
        <w:rPr>
          <w:rFonts w:ascii="Arial" w:hAnsi="Arial" w:cs="Arial"/>
          <w:noProof/>
          <w:sz w:val="21"/>
          <w:szCs w:val="21"/>
          <w:u w:val="single"/>
        </w:rPr>
        <w:t xml:space="preserve">   </w:t>
      </w:r>
      <w:r w:rsidR="008A5264" w:rsidRPr="00822C15">
        <w:rPr>
          <w:rFonts w:ascii="Arial" w:hAnsi="Arial" w:cs="Arial"/>
          <w:noProof/>
          <w:sz w:val="21"/>
          <w:szCs w:val="21"/>
          <w:u w:val="single"/>
        </w:rPr>
        <w:t>(Name of ISV)</w:t>
      </w:r>
      <w:r w:rsidR="00AD29EF" w:rsidRPr="00822C15">
        <w:rPr>
          <w:rFonts w:ascii="Arial" w:hAnsi="Arial" w:cs="Arial"/>
          <w:noProof/>
          <w:sz w:val="21"/>
          <w:szCs w:val="21"/>
        </w:rPr>
        <w:t>&gt; (“the ISV”).</w:t>
      </w:r>
      <w:r w:rsidR="00E8326C" w:rsidRPr="00822C15">
        <w:rPr>
          <w:rFonts w:ascii="Arial" w:hAnsi="Arial" w:cs="Arial"/>
          <w:noProof/>
          <w:sz w:val="21"/>
          <w:szCs w:val="21"/>
        </w:rPr>
        <w:t xml:space="preserve"> </w:t>
      </w:r>
      <w:r w:rsidR="00E8326C" w:rsidRPr="00822C15">
        <w:rPr>
          <w:rFonts w:ascii="Arial" w:hAnsi="Arial" w:cs="Arial"/>
          <w:noProof/>
          <w:sz w:val="21"/>
          <w:szCs w:val="21"/>
        </w:rPr>
        <w:br/>
      </w:r>
    </w:p>
    <w:p w:rsidR="00E42F0D" w:rsidRPr="00822C15" w:rsidRDefault="00EC5C96" w:rsidP="00AD29EF">
      <w:pPr>
        <w:pStyle w:val="BodyText3"/>
        <w:adjustRightInd w:val="0"/>
        <w:snapToGrid w:val="0"/>
        <w:rPr>
          <w:rFonts w:ascii="Arial" w:hAnsi="Arial" w:cs="Arial"/>
          <w:noProof/>
          <w:sz w:val="21"/>
          <w:szCs w:val="21"/>
        </w:rPr>
      </w:pPr>
      <w:r w:rsidRPr="00822C15">
        <w:rPr>
          <w:rFonts w:ascii="Arial" w:hAnsi="Arial" w:cs="Arial"/>
          <w:noProof/>
          <w:sz w:val="21"/>
          <w:szCs w:val="21"/>
        </w:rPr>
        <w:t xml:space="preserve">We further agree to update </w:t>
      </w:r>
      <w:r w:rsidR="0001074E" w:rsidRPr="00822C15">
        <w:rPr>
          <w:rFonts w:ascii="Arial" w:hAnsi="Arial" w:cs="Arial"/>
          <w:noProof/>
          <w:sz w:val="21"/>
          <w:szCs w:val="21"/>
        </w:rPr>
        <w:t>HKEX-IS</w:t>
      </w:r>
      <w:r w:rsidRPr="00822C15">
        <w:rPr>
          <w:rFonts w:ascii="Arial" w:hAnsi="Arial" w:cs="Arial"/>
          <w:noProof/>
          <w:sz w:val="21"/>
          <w:szCs w:val="21"/>
        </w:rPr>
        <w:t xml:space="preserve"> </w:t>
      </w:r>
      <w:r w:rsidR="009369D1" w:rsidRPr="00822C15">
        <w:rPr>
          <w:rFonts w:ascii="Arial" w:hAnsi="Arial" w:cs="Arial"/>
          <w:noProof/>
          <w:sz w:val="21"/>
          <w:szCs w:val="21"/>
        </w:rPr>
        <w:t>(</w:t>
      </w:r>
      <w:hyperlink r:id="rId12" w:history="1">
        <w:r w:rsidR="009369D1" w:rsidRPr="00822C15">
          <w:rPr>
            <w:rStyle w:val="Hyperlink"/>
            <w:rFonts w:ascii="Arial" w:hAnsi="Arial" w:cs="Arial"/>
            <w:noProof/>
            <w:sz w:val="21"/>
            <w:szCs w:val="21"/>
          </w:rPr>
          <w:t>IVSupport@hkex.com.hk</w:t>
        </w:r>
      </w:hyperlink>
      <w:r w:rsidR="009369D1" w:rsidRPr="00822C15">
        <w:rPr>
          <w:rFonts w:ascii="Arial" w:hAnsi="Arial" w:cs="Arial"/>
          <w:noProof/>
          <w:sz w:val="21"/>
          <w:szCs w:val="21"/>
        </w:rPr>
        <w:t xml:space="preserve">) </w:t>
      </w:r>
      <w:r w:rsidR="00AE18FA" w:rsidRPr="00822C15">
        <w:rPr>
          <w:rFonts w:ascii="Arial" w:hAnsi="Arial" w:cs="Arial"/>
          <w:noProof/>
          <w:sz w:val="21"/>
          <w:szCs w:val="21"/>
        </w:rPr>
        <w:t xml:space="preserve">if and when we </w:t>
      </w:r>
      <w:r w:rsidR="00690C1A" w:rsidRPr="00822C15">
        <w:rPr>
          <w:rFonts w:ascii="Arial" w:hAnsi="Arial" w:cs="Arial"/>
          <w:noProof/>
          <w:sz w:val="21"/>
          <w:szCs w:val="21"/>
        </w:rPr>
        <w:t xml:space="preserve">cease </w:t>
      </w:r>
      <w:r w:rsidR="00E02108" w:rsidRPr="00822C15">
        <w:rPr>
          <w:rFonts w:ascii="Arial" w:hAnsi="Arial" w:cs="Arial"/>
          <w:noProof/>
          <w:sz w:val="21"/>
          <w:szCs w:val="21"/>
        </w:rPr>
        <w:t>to use</w:t>
      </w:r>
      <w:r w:rsidR="00690C1A" w:rsidRPr="00822C15">
        <w:rPr>
          <w:rFonts w:ascii="Arial" w:hAnsi="Arial" w:cs="Arial"/>
          <w:noProof/>
          <w:sz w:val="21"/>
          <w:szCs w:val="21"/>
        </w:rPr>
        <w:t xml:space="preserve"> </w:t>
      </w:r>
      <w:r w:rsidR="00A043FA" w:rsidRPr="00822C15">
        <w:rPr>
          <w:rFonts w:ascii="Arial" w:hAnsi="Arial" w:cs="Arial"/>
          <w:noProof/>
          <w:sz w:val="21"/>
          <w:szCs w:val="21"/>
        </w:rPr>
        <w:t>th</w:t>
      </w:r>
      <w:r w:rsidR="00A6034B" w:rsidRPr="00822C15">
        <w:rPr>
          <w:rFonts w:ascii="Arial" w:hAnsi="Arial" w:cs="Arial"/>
          <w:noProof/>
          <w:sz w:val="21"/>
          <w:szCs w:val="21"/>
        </w:rPr>
        <w:t>e</w:t>
      </w:r>
      <w:r w:rsidR="008A5264" w:rsidRPr="00822C15">
        <w:rPr>
          <w:rFonts w:ascii="Arial" w:hAnsi="Arial" w:cs="Arial"/>
          <w:noProof/>
          <w:sz w:val="21"/>
          <w:szCs w:val="21"/>
        </w:rPr>
        <w:t xml:space="preserve"> </w:t>
      </w:r>
      <w:r w:rsidR="0082086D" w:rsidRPr="00822C15">
        <w:rPr>
          <w:rFonts w:ascii="Arial" w:hAnsi="Arial" w:cs="Arial"/>
          <w:noProof/>
          <w:sz w:val="21"/>
          <w:szCs w:val="21"/>
        </w:rPr>
        <w:t xml:space="preserve">ISV </w:t>
      </w:r>
      <w:r w:rsidR="00A043FA" w:rsidRPr="00822C15">
        <w:rPr>
          <w:rFonts w:ascii="Arial" w:hAnsi="Arial" w:cs="Arial"/>
          <w:noProof/>
          <w:sz w:val="21"/>
          <w:szCs w:val="21"/>
        </w:rPr>
        <w:t xml:space="preserve">software version </w:t>
      </w:r>
      <w:r w:rsidR="0082086D" w:rsidRPr="00822C15">
        <w:rPr>
          <w:rFonts w:ascii="Arial" w:hAnsi="Arial" w:cs="Arial"/>
          <w:noProof/>
          <w:sz w:val="21"/>
          <w:szCs w:val="21"/>
        </w:rPr>
        <w:t xml:space="preserve">for any particular datafeed by giving no less than 2 weeks’ </w:t>
      </w:r>
      <w:r w:rsidR="004B1B26" w:rsidRPr="00822C15">
        <w:rPr>
          <w:rFonts w:ascii="Arial" w:hAnsi="Arial" w:cs="Arial"/>
          <w:noProof/>
          <w:sz w:val="21"/>
          <w:szCs w:val="21"/>
        </w:rPr>
        <w:t xml:space="preserve">advance </w:t>
      </w:r>
      <w:r w:rsidR="0082086D" w:rsidRPr="00822C15">
        <w:rPr>
          <w:rFonts w:ascii="Arial" w:hAnsi="Arial" w:cs="Arial"/>
          <w:noProof/>
          <w:sz w:val="21"/>
          <w:szCs w:val="21"/>
        </w:rPr>
        <w:t>notice.</w:t>
      </w:r>
    </w:p>
    <w:p w:rsidR="00E42F0D" w:rsidRPr="000E46FE" w:rsidRDefault="00E42F0D" w:rsidP="00AD29EF">
      <w:pPr>
        <w:pStyle w:val="BodyText3"/>
        <w:adjustRightInd w:val="0"/>
        <w:snapToGrid w:val="0"/>
        <w:rPr>
          <w:rFonts w:ascii="Arial" w:hAnsi="Arial" w:cs="Arial"/>
          <w:noProof/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1628"/>
        <w:gridCol w:w="1062"/>
        <w:gridCol w:w="1573"/>
        <w:gridCol w:w="2013"/>
        <w:gridCol w:w="1099"/>
      </w:tblGrid>
      <w:tr w:rsidR="004C03A2" w:rsidRPr="00822C15" w:rsidTr="004F5688">
        <w:trPr>
          <w:trHeight w:val="727"/>
        </w:trPr>
        <w:tc>
          <w:tcPr>
            <w:tcW w:w="2690" w:type="dxa"/>
            <w:shd w:val="clear" w:color="auto" w:fill="auto"/>
            <w:vAlign w:val="center"/>
          </w:tcPr>
          <w:p w:rsidR="004C03A2" w:rsidRPr="00822C15" w:rsidRDefault="004C03A2" w:rsidP="006D79F0">
            <w:pPr>
              <w:snapToGrid w:val="0"/>
              <w:ind w:leftChars="-45" w:left="-108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b/>
                <w:kern w:val="0"/>
                <w:sz w:val="21"/>
                <w:szCs w:val="21"/>
              </w:rPr>
              <w:t>Datefeed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4C03A2" w:rsidRPr="00822C15" w:rsidRDefault="004C03A2" w:rsidP="006D79F0">
            <w:pPr>
              <w:snapToGrid w:val="0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b/>
                <w:kern w:val="0"/>
                <w:sz w:val="21"/>
                <w:szCs w:val="21"/>
              </w:rPr>
              <w:t>Software Name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C03A2" w:rsidRPr="00822C15" w:rsidRDefault="004C03A2" w:rsidP="006D79F0">
            <w:pPr>
              <w:snapToGrid w:val="0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b/>
                <w:kern w:val="0"/>
                <w:sz w:val="21"/>
                <w:szCs w:val="21"/>
              </w:rPr>
              <w:t>Version Number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4C03A2" w:rsidRPr="00822C15" w:rsidRDefault="004C03A2" w:rsidP="006D79F0">
            <w:pPr>
              <w:snapToGrid w:val="0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b/>
                <w:kern w:val="0"/>
                <w:sz w:val="21"/>
                <w:szCs w:val="21"/>
              </w:rPr>
              <w:t>Scope of Completion*</w:t>
            </w:r>
            <w:r w:rsidRPr="00822C15">
              <w:rPr>
                <w:rFonts w:ascii="Arial" w:hAnsi="Arial" w:cs="Arial"/>
                <w:b/>
                <w:kern w:val="0"/>
                <w:sz w:val="21"/>
                <w:szCs w:val="21"/>
              </w:rPr>
              <w:br/>
            </w:r>
            <w:r w:rsidRPr="00822C15">
              <w:rPr>
                <w:rFonts w:ascii="Arial" w:hAnsi="Arial" w:cs="Arial"/>
                <w:i/>
                <w:kern w:val="0"/>
                <w:sz w:val="21"/>
                <w:szCs w:val="21"/>
              </w:rPr>
              <w:t>Full / Limited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C03A2" w:rsidRPr="00822C15" w:rsidRDefault="004C03A2" w:rsidP="006D79F0">
            <w:pPr>
              <w:snapToGrid w:val="0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b/>
                <w:kern w:val="0"/>
                <w:sz w:val="21"/>
                <w:szCs w:val="21"/>
              </w:rPr>
              <w:t>Certification / Readiness Test Completion Date</w:t>
            </w:r>
          </w:p>
        </w:tc>
        <w:tc>
          <w:tcPr>
            <w:tcW w:w="1099" w:type="dxa"/>
            <w:shd w:val="clear" w:color="auto" w:fill="FFFF00"/>
            <w:vAlign w:val="center"/>
          </w:tcPr>
          <w:p w:rsidR="004C03A2" w:rsidRPr="00822C15" w:rsidRDefault="0001074E" w:rsidP="006D79F0">
            <w:pPr>
              <w:snapToGrid w:val="0"/>
              <w:jc w:val="center"/>
              <w:rPr>
                <w:rFonts w:ascii="Arial" w:hAnsi="Arial" w:cs="Arial"/>
                <w:b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b/>
                <w:kern w:val="0"/>
                <w:sz w:val="21"/>
                <w:szCs w:val="21"/>
                <w:highlight w:val="yellow"/>
              </w:rPr>
              <w:t>HKEX-IS</w:t>
            </w:r>
            <w:r w:rsidR="004C03A2" w:rsidRPr="00822C15">
              <w:rPr>
                <w:rFonts w:ascii="Arial" w:hAnsi="Arial" w:cs="Arial"/>
                <w:b/>
                <w:kern w:val="0"/>
                <w:sz w:val="21"/>
                <w:szCs w:val="21"/>
                <w:highlight w:val="yellow"/>
              </w:rPr>
              <w:t xml:space="preserve"> Official Use</w:t>
            </w:r>
          </w:p>
        </w:tc>
      </w:tr>
      <w:tr w:rsidR="004C03A2" w:rsidRPr="00822C15" w:rsidTr="004F5688">
        <w:trPr>
          <w:trHeight w:val="247"/>
        </w:trPr>
        <w:tc>
          <w:tcPr>
            <w:tcW w:w="2690" w:type="dxa"/>
            <w:shd w:val="clear" w:color="auto" w:fill="auto"/>
          </w:tcPr>
          <w:p w:rsidR="004C03A2" w:rsidRPr="00822C15" w:rsidRDefault="00561B53" w:rsidP="006D79F0">
            <w:pPr>
              <w:snapToGrid w:val="0"/>
              <w:ind w:leftChars="-45" w:left="-108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-Datafeed-"/>
                    <w:listEntry w:val="Securities Standard (SS)"/>
                    <w:listEntry w:val="Securities Premium (SP)"/>
                    <w:listEntry w:val="Securities FullTick (SF)"/>
                    <w:listEntry w:val="Index Feed (Index)"/>
                    <w:listEntry w:val="Odd Lot Order (OLO)"/>
                    <w:listEntry w:val="Conflated Broker Queue (CBQ)"/>
                    <w:listEntry w:val="Derivatives Standard (DS)"/>
                    <w:listEntry w:val="Derivatives Premium (DP)"/>
                    <w:listEntry w:val="Derivatives FullTick (DF)"/>
                    <w:listEntry w:val="Derivatives Trades (DT)"/>
                  </w:ddList>
                </w:ffData>
              </w:fldChar>
            </w:r>
            <w:bookmarkStart w:id="1" w:name="Dropdown2"/>
            <w:r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>
              <w:rPr>
                <w:rFonts w:ascii="Arial" w:hAnsi="Arial" w:cs="Arial"/>
                <w:kern w:val="0"/>
                <w:sz w:val="21"/>
                <w:szCs w:val="21"/>
              </w:rPr>
            </w:r>
            <w:r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1628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ull"/>
                    <w:listEntry w:val="Limited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</w:ddList>
                </w:ffData>
              </w:fldChar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</w:tr>
      <w:tr w:rsidR="004C03A2" w:rsidRPr="00822C15" w:rsidTr="004F5688">
        <w:trPr>
          <w:trHeight w:val="247"/>
        </w:trPr>
        <w:tc>
          <w:tcPr>
            <w:tcW w:w="2690" w:type="dxa"/>
            <w:shd w:val="clear" w:color="auto" w:fill="auto"/>
          </w:tcPr>
          <w:p w:rsidR="004C03A2" w:rsidRPr="00822C15" w:rsidRDefault="00966F98" w:rsidP="006D79F0">
            <w:pPr>
              <w:snapToGrid w:val="0"/>
              <w:ind w:leftChars="-45" w:left="-108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Datafeed-"/>
                    <w:listEntry w:val="Securities Standard (SS)"/>
                    <w:listEntry w:val="Securities Premium (SP)"/>
                    <w:listEntry w:val="Securities FullTick (SF)"/>
                    <w:listEntry w:val="Index Feed (Index)"/>
                    <w:listEntry w:val="Odd Lot Order (OLO)"/>
                    <w:listEntry w:val="Conflated Broker Queue (CBQ)"/>
                    <w:listEntry w:val="Derivatives Standard (DS)"/>
                    <w:listEntry w:val="Derivatives Premium (DP)"/>
                    <w:listEntry w:val="Derivatives FullTick (DF)"/>
                    <w:listEntry w:val="Derivatives Trades (DT)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628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ull"/>
                    <w:listEntry w:val="Limited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</w:ddList>
                </w:ffData>
              </w:fldChar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</w:tr>
      <w:tr w:rsidR="004C03A2" w:rsidRPr="00822C15" w:rsidTr="004F5688">
        <w:trPr>
          <w:trHeight w:val="232"/>
        </w:trPr>
        <w:tc>
          <w:tcPr>
            <w:tcW w:w="2690" w:type="dxa"/>
            <w:shd w:val="clear" w:color="auto" w:fill="auto"/>
          </w:tcPr>
          <w:p w:rsidR="004C03A2" w:rsidRPr="00822C15" w:rsidRDefault="00966F98" w:rsidP="006D79F0">
            <w:pPr>
              <w:snapToGrid w:val="0"/>
              <w:ind w:leftChars="-45" w:left="-108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Datafeed-"/>
                    <w:listEntry w:val="Securities Standard (SS)"/>
                    <w:listEntry w:val="Securities Premium (SP)"/>
                    <w:listEntry w:val="Securities FullTick (SF)"/>
                    <w:listEntry w:val="Index Feed (Index)"/>
                    <w:listEntry w:val="Odd Lot Order (OLO)"/>
                    <w:listEntry w:val="Conflated Broker Queue (CBQ)"/>
                    <w:listEntry w:val="Derivatives Standard (DS)"/>
                    <w:listEntry w:val="Derivatives Premium (DP)"/>
                    <w:listEntry w:val="Derivatives FullTick (DF)"/>
                    <w:listEntry w:val="Derivatives Trades (DT)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628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ull"/>
                    <w:listEntry w:val="Limited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</w:ddList>
                </w:ffData>
              </w:fldChar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</w:tr>
      <w:tr w:rsidR="004C03A2" w:rsidRPr="00822C15" w:rsidTr="004F5688">
        <w:trPr>
          <w:trHeight w:val="247"/>
        </w:trPr>
        <w:tc>
          <w:tcPr>
            <w:tcW w:w="2690" w:type="dxa"/>
            <w:shd w:val="clear" w:color="auto" w:fill="auto"/>
          </w:tcPr>
          <w:p w:rsidR="004C03A2" w:rsidRPr="00822C15" w:rsidRDefault="00966F98" w:rsidP="006D79F0">
            <w:pPr>
              <w:snapToGrid w:val="0"/>
              <w:ind w:leftChars="-45" w:left="-108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Datafeed-"/>
                    <w:listEntry w:val="Securities Standard (SS)"/>
                    <w:listEntry w:val="Securities Premium (SP)"/>
                    <w:listEntry w:val="Securities FullTick (SF)"/>
                    <w:listEntry w:val="Index Feed (Index)"/>
                    <w:listEntry w:val="Odd Lot Order (OLO)"/>
                    <w:listEntry w:val="Conflated Broker Queue (CBQ)"/>
                    <w:listEntry w:val="Derivatives Standard (DS)"/>
                    <w:listEntry w:val="Derivatives Premium (DP)"/>
                    <w:listEntry w:val="Derivatives FullTick (DF)"/>
                    <w:listEntry w:val="Derivatives Trades (DT)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628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ull"/>
                    <w:listEntry w:val="Limited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</w:ddList>
                </w:ffData>
              </w:fldChar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</w:tr>
      <w:tr w:rsidR="004C03A2" w:rsidRPr="00822C15" w:rsidTr="004F5688">
        <w:trPr>
          <w:trHeight w:val="247"/>
        </w:trPr>
        <w:tc>
          <w:tcPr>
            <w:tcW w:w="2690" w:type="dxa"/>
            <w:shd w:val="clear" w:color="auto" w:fill="auto"/>
          </w:tcPr>
          <w:p w:rsidR="004C03A2" w:rsidRPr="00822C15" w:rsidRDefault="00966F98" w:rsidP="006D79F0">
            <w:pPr>
              <w:snapToGrid w:val="0"/>
              <w:ind w:leftChars="-45" w:left="-108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Datafeed-"/>
                    <w:listEntry w:val="Securities Standard (SS)"/>
                    <w:listEntry w:val="Securities Premium (SP)"/>
                    <w:listEntry w:val="Securities FullTick (SF)"/>
                    <w:listEntry w:val="Index Feed (Index)"/>
                    <w:listEntry w:val="Odd Lot Order (OLO)"/>
                    <w:listEntry w:val="Conflated Broker Queue (CBQ)"/>
                    <w:listEntry w:val="Derivatives Standard (DS)"/>
                    <w:listEntry w:val="Derivatives Premium (DP)"/>
                    <w:listEntry w:val="Derivatives FullTick (DF)"/>
                    <w:listEntry w:val="Derivatives Trades (DT)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628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ull"/>
                    <w:listEntry w:val="Limited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</w:ddList>
                </w:ffData>
              </w:fldChar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</w:tr>
      <w:tr w:rsidR="004C03A2" w:rsidRPr="00822C15" w:rsidTr="004F5688">
        <w:trPr>
          <w:trHeight w:val="247"/>
        </w:trPr>
        <w:tc>
          <w:tcPr>
            <w:tcW w:w="2690" w:type="dxa"/>
            <w:shd w:val="clear" w:color="auto" w:fill="auto"/>
          </w:tcPr>
          <w:p w:rsidR="004C03A2" w:rsidRPr="00822C15" w:rsidRDefault="00966F98" w:rsidP="006D79F0">
            <w:pPr>
              <w:snapToGrid w:val="0"/>
              <w:ind w:leftChars="-45" w:left="-108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Datafeed-"/>
                    <w:listEntry w:val="Securities Standard (SS)"/>
                    <w:listEntry w:val="Securities Premium (SP)"/>
                    <w:listEntry w:val="Securities FullTick (SF)"/>
                    <w:listEntry w:val="Index Feed (Index)"/>
                    <w:listEntry w:val="Odd Lot Order (OLO)"/>
                    <w:listEntry w:val="Conflated Broker Queue (CBQ)"/>
                    <w:listEntry w:val="Derivatives Standard (DS)"/>
                    <w:listEntry w:val="Derivatives Premium (DP)"/>
                    <w:listEntry w:val="Derivatives FullTick (DF)"/>
                    <w:listEntry w:val="Derivatives Trades (DT)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628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57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Full"/>
                    <w:listEntry w:val="Limited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2013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b/>
                <w:bCs/>
                <w:kern w:val="0"/>
                <w:sz w:val="21"/>
                <w:szCs w:val="21"/>
              </w:rPr>
            </w:pP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FORMTEXT </w:instrTex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> 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January"/>
                    <w:listEntry w:val="February"/>
                    <w:listEntry w:val="March"/>
                    <w:listEntry w:val="April"/>
                    <w:listEntry w:val="May"/>
                    <w:listEntry w:val="June"/>
                    <w:listEntry w:val="July"/>
                    <w:listEntry w:val="August"/>
                    <w:listEntry w:val="September"/>
                    <w:listEntry w:val="October"/>
                    <w:listEntry w:val="November"/>
                    <w:listEntry w:val="December"/>
                  </w:ddList>
                </w:ffData>
              </w:fldChar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  <w:r w:rsidRPr="00822C15">
              <w:rPr>
                <w:rFonts w:ascii="Arial" w:hAnsi="Arial" w:cs="Arial"/>
                <w:kern w:val="0"/>
                <w:sz w:val="21"/>
                <w:szCs w:val="21"/>
              </w:rPr>
              <w:t xml:space="preserve"> </w:t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2008"/>
                    <w:listEntry w:val="2009"/>
                    <w:listEntry w:val="2010"/>
                    <w:listEntry w:val="2011"/>
                    <w:listEntry w:val="2012"/>
                    <w:listEntry w:val="2013"/>
                    <w:listEntry w:val="2014"/>
                    <w:listEntry w:val="2015"/>
                    <w:listEntry w:val="2016"/>
                    <w:listEntry w:val="2017"/>
                  </w:ddList>
                </w:ffData>
              </w:fldChar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instrText xml:space="preserve"> FORMDROPDOWN </w:instrText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</w:r>
            <w:r w:rsidR="002A00EA">
              <w:rPr>
                <w:rFonts w:ascii="Arial" w:hAnsi="Arial" w:cs="Arial"/>
                <w:kern w:val="0"/>
                <w:sz w:val="21"/>
                <w:szCs w:val="21"/>
              </w:rPr>
              <w:fldChar w:fldCharType="separate"/>
            </w:r>
            <w:r w:rsidR="00D85CF1" w:rsidRPr="00822C15">
              <w:rPr>
                <w:rFonts w:ascii="Arial" w:hAnsi="Arial" w:cs="Arial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1099" w:type="dxa"/>
            <w:shd w:val="clear" w:color="auto" w:fill="auto"/>
          </w:tcPr>
          <w:p w:rsidR="004C03A2" w:rsidRPr="00822C15" w:rsidRDefault="004C03A2" w:rsidP="006D79F0">
            <w:pPr>
              <w:snapToGrid w:val="0"/>
              <w:contextualSpacing/>
              <w:jc w:val="center"/>
              <w:rPr>
                <w:rFonts w:ascii="Arial" w:hAnsi="Arial" w:cs="Arial"/>
                <w:kern w:val="0"/>
                <w:sz w:val="21"/>
                <w:szCs w:val="21"/>
              </w:rPr>
            </w:pPr>
          </w:p>
        </w:tc>
      </w:tr>
    </w:tbl>
    <w:p w:rsidR="00462102" w:rsidRPr="00263B5B" w:rsidRDefault="00E8326C" w:rsidP="00AD29EF">
      <w:pPr>
        <w:pStyle w:val="BodyText3"/>
        <w:adjustRightInd w:val="0"/>
        <w:snapToGrid w:val="0"/>
        <w:rPr>
          <w:rFonts w:ascii="Arial" w:hAnsi="Arial" w:cs="Arial"/>
          <w:i/>
          <w:noProof/>
          <w:szCs w:val="24"/>
        </w:rPr>
      </w:pPr>
      <w:r w:rsidRPr="00822C15">
        <w:rPr>
          <w:rFonts w:ascii="Arial" w:hAnsi="Arial" w:cs="Arial"/>
          <w:i/>
          <w:noProof/>
          <w:sz w:val="21"/>
          <w:szCs w:val="21"/>
        </w:rPr>
        <w:t>* In the case of limited scope</w:t>
      </w:r>
      <w:r w:rsidR="00053A51" w:rsidRPr="00822C15">
        <w:rPr>
          <w:rFonts w:ascii="Arial" w:hAnsi="Arial" w:cs="Arial"/>
          <w:i/>
          <w:noProof/>
          <w:sz w:val="21"/>
          <w:szCs w:val="21"/>
        </w:rPr>
        <w:t xml:space="preserve"> </w:t>
      </w:r>
      <w:r w:rsidR="00AC4D1E" w:rsidRPr="00822C15">
        <w:rPr>
          <w:rFonts w:ascii="Arial" w:hAnsi="Arial" w:cs="Arial"/>
          <w:i/>
          <w:noProof/>
          <w:sz w:val="21"/>
          <w:szCs w:val="21"/>
        </w:rPr>
        <w:t xml:space="preserve">of </w:t>
      </w:r>
      <w:r w:rsidR="003A7BF6" w:rsidRPr="00822C15">
        <w:rPr>
          <w:rFonts w:ascii="Arial" w:hAnsi="Arial" w:cs="Arial"/>
          <w:i/>
          <w:noProof/>
          <w:sz w:val="21"/>
          <w:szCs w:val="21"/>
        </w:rPr>
        <w:t xml:space="preserve">completion </w:t>
      </w:r>
      <w:r w:rsidR="00DE2CA1" w:rsidRPr="00822C15">
        <w:rPr>
          <w:rFonts w:ascii="Arial" w:hAnsi="Arial" w:cs="Arial"/>
          <w:i/>
          <w:noProof/>
          <w:sz w:val="21"/>
          <w:szCs w:val="21"/>
        </w:rPr>
        <w:t>for</w:t>
      </w:r>
      <w:r w:rsidR="00B21617" w:rsidRPr="00822C15">
        <w:rPr>
          <w:rFonts w:ascii="Arial" w:hAnsi="Arial" w:cs="Arial"/>
          <w:i/>
          <w:noProof/>
          <w:sz w:val="21"/>
          <w:szCs w:val="21"/>
        </w:rPr>
        <w:t xml:space="preserve"> </w:t>
      </w:r>
      <w:r w:rsidR="00053A51" w:rsidRPr="00822C15">
        <w:rPr>
          <w:rFonts w:ascii="Arial" w:hAnsi="Arial" w:cs="Arial"/>
          <w:i/>
          <w:noProof/>
          <w:sz w:val="21"/>
          <w:szCs w:val="21"/>
        </w:rPr>
        <w:t>a particular software version</w:t>
      </w:r>
      <w:r w:rsidRPr="00822C15">
        <w:rPr>
          <w:rFonts w:ascii="Arial" w:hAnsi="Arial" w:cs="Arial"/>
          <w:i/>
          <w:noProof/>
          <w:sz w:val="21"/>
          <w:szCs w:val="21"/>
        </w:rPr>
        <w:t xml:space="preserve">, </w:t>
      </w:r>
      <w:r w:rsidR="009D16B4" w:rsidRPr="00822C15">
        <w:rPr>
          <w:rFonts w:ascii="Arial" w:hAnsi="Arial" w:cs="Arial"/>
          <w:i/>
          <w:noProof/>
          <w:sz w:val="21"/>
          <w:szCs w:val="21"/>
        </w:rPr>
        <w:t>the Com</w:t>
      </w:r>
      <w:r w:rsidR="003B13DB" w:rsidRPr="00822C15">
        <w:rPr>
          <w:rFonts w:ascii="Arial" w:hAnsi="Arial" w:cs="Arial"/>
          <w:i/>
          <w:noProof/>
          <w:sz w:val="21"/>
          <w:szCs w:val="21"/>
        </w:rPr>
        <w:t>pa</w:t>
      </w:r>
      <w:r w:rsidR="009D16B4" w:rsidRPr="00822C15">
        <w:rPr>
          <w:rFonts w:ascii="Arial" w:hAnsi="Arial" w:cs="Arial"/>
          <w:i/>
          <w:noProof/>
          <w:sz w:val="21"/>
          <w:szCs w:val="21"/>
        </w:rPr>
        <w:t>ny</w:t>
      </w:r>
      <w:r w:rsidRPr="00822C15">
        <w:rPr>
          <w:rFonts w:ascii="Arial" w:hAnsi="Arial" w:cs="Arial"/>
          <w:i/>
          <w:noProof/>
          <w:sz w:val="21"/>
          <w:szCs w:val="21"/>
        </w:rPr>
        <w:t xml:space="preserve"> confirm</w:t>
      </w:r>
      <w:r w:rsidR="00EA5D40" w:rsidRPr="00822C15">
        <w:rPr>
          <w:rFonts w:ascii="Arial" w:hAnsi="Arial" w:cs="Arial"/>
          <w:i/>
          <w:noProof/>
          <w:sz w:val="21"/>
          <w:szCs w:val="21"/>
        </w:rPr>
        <w:t xml:space="preserve"> </w:t>
      </w:r>
      <w:r w:rsidR="00951FCA" w:rsidRPr="00822C15">
        <w:rPr>
          <w:rFonts w:ascii="Arial" w:hAnsi="Arial" w:cs="Arial"/>
          <w:i/>
          <w:noProof/>
          <w:sz w:val="21"/>
          <w:szCs w:val="21"/>
        </w:rPr>
        <w:t xml:space="preserve">that we </w:t>
      </w:r>
      <w:r w:rsidR="00EA5D40" w:rsidRPr="00822C15">
        <w:rPr>
          <w:rFonts w:ascii="Arial" w:hAnsi="Arial" w:cs="Arial"/>
          <w:i/>
          <w:noProof/>
          <w:sz w:val="21"/>
          <w:szCs w:val="21"/>
        </w:rPr>
        <w:t>made</w:t>
      </w:r>
      <w:r w:rsidRPr="00822C15">
        <w:rPr>
          <w:rFonts w:ascii="Arial" w:hAnsi="Arial" w:cs="Arial"/>
          <w:i/>
          <w:noProof/>
          <w:sz w:val="21"/>
          <w:szCs w:val="21"/>
        </w:rPr>
        <w:t xml:space="preserve"> reasonable enquiries to the ISV</w:t>
      </w:r>
      <w:r w:rsidR="003133E1" w:rsidRPr="00822C15">
        <w:rPr>
          <w:rFonts w:ascii="Arial" w:hAnsi="Arial" w:cs="Arial"/>
          <w:i/>
          <w:noProof/>
          <w:sz w:val="21"/>
          <w:szCs w:val="21"/>
        </w:rPr>
        <w:t>,</w:t>
      </w:r>
      <w:r w:rsidRPr="00822C15">
        <w:rPr>
          <w:rFonts w:ascii="Arial" w:hAnsi="Arial" w:cs="Arial"/>
          <w:i/>
          <w:noProof/>
          <w:sz w:val="21"/>
          <w:szCs w:val="21"/>
        </w:rPr>
        <w:t xml:space="preserve"> and understood</w:t>
      </w:r>
      <w:r w:rsidR="003133E1" w:rsidRPr="00822C15">
        <w:rPr>
          <w:rFonts w:ascii="Arial" w:hAnsi="Arial" w:cs="Arial"/>
          <w:i/>
          <w:noProof/>
          <w:sz w:val="21"/>
          <w:szCs w:val="21"/>
        </w:rPr>
        <w:t xml:space="preserve"> </w:t>
      </w:r>
      <w:r w:rsidR="004A3421" w:rsidRPr="00822C15">
        <w:rPr>
          <w:rFonts w:ascii="Arial" w:hAnsi="Arial" w:cs="Arial"/>
          <w:i/>
          <w:noProof/>
          <w:sz w:val="21"/>
          <w:szCs w:val="21"/>
        </w:rPr>
        <w:t xml:space="preserve">(i) </w:t>
      </w:r>
      <w:r w:rsidR="003133E1" w:rsidRPr="00822C15">
        <w:rPr>
          <w:rFonts w:ascii="Arial" w:hAnsi="Arial" w:cs="Arial"/>
          <w:i/>
          <w:noProof/>
          <w:sz w:val="21"/>
          <w:szCs w:val="21"/>
        </w:rPr>
        <w:t xml:space="preserve">the details of </w:t>
      </w:r>
      <w:r w:rsidR="00053A51" w:rsidRPr="00822C15">
        <w:rPr>
          <w:rFonts w:ascii="Arial" w:hAnsi="Arial" w:cs="Arial"/>
          <w:i/>
          <w:noProof/>
          <w:sz w:val="21"/>
          <w:szCs w:val="21"/>
        </w:rPr>
        <w:t>that software</w:t>
      </w:r>
      <w:r w:rsidR="003133E1" w:rsidRPr="00822C15">
        <w:rPr>
          <w:rFonts w:ascii="Arial" w:hAnsi="Arial" w:cs="Arial"/>
          <w:i/>
          <w:noProof/>
          <w:sz w:val="21"/>
          <w:szCs w:val="21"/>
        </w:rPr>
        <w:t xml:space="preserve"> and </w:t>
      </w:r>
      <w:r w:rsidR="004A3421" w:rsidRPr="00822C15">
        <w:rPr>
          <w:rFonts w:ascii="Arial" w:hAnsi="Arial" w:cs="Arial"/>
          <w:i/>
          <w:noProof/>
          <w:sz w:val="21"/>
          <w:szCs w:val="21"/>
        </w:rPr>
        <w:t xml:space="preserve">(ii) </w:t>
      </w:r>
      <w:r w:rsidR="000E2264" w:rsidRPr="00822C15">
        <w:rPr>
          <w:rFonts w:ascii="Arial" w:hAnsi="Arial" w:cs="Arial"/>
          <w:i/>
          <w:noProof/>
          <w:sz w:val="21"/>
          <w:szCs w:val="21"/>
        </w:rPr>
        <w:t>the implication</w:t>
      </w:r>
      <w:r w:rsidR="000E2264" w:rsidRPr="00263B5B">
        <w:rPr>
          <w:rFonts w:ascii="Arial" w:hAnsi="Arial" w:cs="Arial"/>
          <w:i/>
          <w:noProof/>
          <w:szCs w:val="24"/>
        </w:rPr>
        <w:t xml:space="preserve"> </w:t>
      </w:r>
      <w:r w:rsidR="003133E1" w:rsidRPr="00263B5B">
        <w:rPr>
          <w:rFonts w:ascii="Arial" w:hAnsi="Arial" w:cs="Arial"/>
          <w:i/>
          <w:noProof/>
          <w:szCs w:val="24"/>
        </w:rPr>
        <w:t xml:space="preserve">that </w:t>
      </w:r>
      <w:r w:rsidR="00CF2990" w:rsidRPr="00263B5B">
        <w:rPr>
          <w:rFonts w:ascii="Arial" w:hAnsi="Arial" w:cs="Arial"/>
          <w:i/>
          <w:noProof/>
          <w:szCs w:val="24"/>
        </w:rPr>
        <w:t>it may</w:t>
      </w:r>
      <w:r w:rsidR="00492FA9" w:rsidRPr="00263B5B">
        <w:rPr>
          <w:rFonts w:ascii="Arial" w:hAnsi="Arial" w:cs="Arial"/>
          <w:i/>
          <w:noProof/>
          <w:szCs w:val="24"/>
        </w:rPr>
        <w:t xml:space="preserve"> </w:t>
      </w:r>
      <w:r w:rsidR="00E73C56" w:rsidRPr="00263B5B">
        <w:rPr>
          <w:rFonts w:ascii="Arial" w:hAnsi="Arial" w:cs="Arial"/>
          <w:i/>
          <w:noProof/>
          <w:szCs w:val="24"/>
        </w:rPr>
        <w:t xml:space="preserve">only </w:t>
      </w:r>
      <w:r w:rsidR="00492FA9" w:rsidRPr="00263B5B">
        <w:rPr>
          <w:rFonts w:ascii="Arial" w:hAnsi="Arial" w:cs="Arial"/>
          <w:i/>
          <w:noProof/>
          <w:szCs w:val="24"/>
        </w:rPr>
        <w:t>cover a limited scope of</w:t>
      </w:r>
      <w:r w:rsidR="00462102" w:rsidRPr="00263B5B">
        <w:rPr>
          <w:rFonts w:ascii="Arial" w:hAnsi="Arial" w:cs="Arial"/>
          <w:i/>
          <w:noProof/>
          <w:szCs w:val="24"/>
        </w:rPr>
        <w:t xml:space="preserve"> functionalities.</w:t>
      </w:r>
      <w:r w:rsidRPr="00263B5B">
        <w:rPr>
          <w:rFonts w:ascii="Arial" w:hAnsi="Arial" w:cs="Arial"/>
          <w:i/>
          <w:noProof/>
          <w:szCs w:val="24"/>
        </w:rPr>
        <w:br/>
      </w:r>
    </w:p>
    <w:p w:rsidR="004704D4" w:rsidRPr="00B12E26" w:rsidRDefault="002506F6" w:rsidP="000326F6">
      <w:pPr>
        <w:tabs>
          <w:tab w:val="left" w:pos="2400"/>
          <w:tab w:val="left" w:pos="3000"/>
          <w:tab w:val="left" w:pos="3420"/>
          <w:tab w:val="left" w:pos="3690"/>
          <w:tab w:val="left" w:pos="6390"/>
          <w:tab w:val="left" w:pos="7200"/>
        </w:tabs>
        <w:snapToGrid w:val="0"/>
        <w:rPr>
          <w:rFonts w:ascii="Arial" w:hAnsi="Arial" w:cs="Arial"/>
          <w:b/>
          <w:sz w:val="22"/>
        </w:rPr>
      </w:pPr>
      <w:r w:rsidRPr="00B12E26">
        <w:rPr>
          <w:rFonts w:ascii="Arial" w:hAnsi="Arial" w:cs="Arial"/>
          <w:b/>
        </w:rPr>
        <w:t>A</w:t>
      </w:r>
      <w:r w:rsidRPr="00B12E26">
        <w:rPr>
          <w:rFonts w:ascii="Arial" w:hAnsi="Arial" w:cs="Arial"/>
          <w:b/>
          <w:sz w:val="22"/>
        </w:rPr>
        <w:t>uthorization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41"/>
        <w:gridCol w:w="4395"/>
        <w:gridCol w:w="141"/>
        <w:gridCol w:w="3261"/>
      </w:tblGrid>
      <w:tr w:rsidR="004704D4" w:rsidRPr="00B12E26" w:rsidTr="004F5688">
        <w:trPr>
          <w:trHeight w:val="241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1A0AAC" w:rsidP="000326F6">
            <w:pPr>
              <w:tabs>
                <w:tab w:val="right" w:pos="1080"/>
              </w:tabs>
              <w:snapToGrid w:val="0"/>
              <w:ind w:right="-35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b/>
                <w:sz w:val="22"/>
              </w:rPr>
              <w:t>Name of the Company</w:t>
            </w: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</w:tcPr>
          <w:p w:rsidR="004704D4" w:rsidRPr="00B12E26" w:rsidRDefault="004704D4" w:rsidP="000326F6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4395" w:type="dxa"/>
            <w:tcBorders>
              <w:top w:val="nil"/>
              <w:left w:val="nil"/>
              <w:right w:val="nil"/>
            </w:tcBorders>
          </w:tcPr>
          <w:p w:rsidR="004704D4" w:rsidRPr="00B12E26" w:rsidRDefault="00B04BB2" w:rsidP="000326F6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color w:val="0000F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4D4" w:rsidRPr="00B12E26">
              <w:rPr>
                <w:rFonts w:ascii="Arial" w:hAnsi="Arial" w:cs="Arial"/>
                <w:color w:val="0000FF"/>
                <w:sz w:val="22"/>
              </w:rPr>
              <w:instrText xml:space="preserve"> FORMTEXT </w:instrText>
            </w:r>
            <w:r w:rsidRPr="00B12E26">
              <w:rPr>
                <w:rFonts w:ascii="Arial" w:hAnsi="Arial" w:cs="Arial"/>
                <w:color w:val="0000FF"/>
                <w:sz w:val="22"/>
              </w:rPr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separate"/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b/>
                <w:sz w:val="22"/>
              </w:rPr>
              <w:t>Signature :</w:t>
            </w:r>
          </w:p>
        </w:tc>
      </w:tr>
      <w:tr w:rsidR="004704D4" w:rsidRPr="00B12E26" w:rsidTr="004F568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1A0AAC" w:rsidP="000326F6">
            <w:pPr>
              <w:tabs>
                <w:tab w:val="righ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b/>
                <w:sz w:val="22"/>
              </w:rPr>
              <w:t>Authorized Person</w:t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395" w:type="dxa"/>
            <w:tcBorders>
              <w:left w:val="nil"/>
              <w:right w:val="nil"/>
            </w:tcBorders>
          </w:tcPr>
          <w:p w:rsidR="004704D4" w:rsidRPr="00B12E26" w:rsidRDefault="00B04BB2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color w:val="0000F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4D4" w:rsidRPr="00B12E26">
              <w:rPr>
                <w:rFonts w:ascii="Arial" w:hAnsi="Arial" w:cs="Arial"/>
                <w:color w:val="0000FF"/>
                <w:sz w:val="22"/>
              </w:rPr>
              <w:instrText xml:space="preserve"> FORMTEXT </w:instrText>
            </w:r>
            <w:r w:rsidRPr="00B12E26">
              <w:rPr>
                <w:rFonts w:ascii="Arial" w:hAnsi="Arial" w:cs="Arial"/>
                <w:color w:val="0000FF"/>
                <w:sz w:val="22"/>
              </w:rPr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separate"/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4704D4" w:rsidRPr="00B12E26" w:rsidTr="004F568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righ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b/>
                <w:sz w:val="22"/>
              </w:rPr>
              <w:t>Title</w:t>
            </w:r>
            <w:r w:rsidRPr="00B12E26">
              <w:rPr>
                <w:rFonts w:ascii="Arial" w:hAnsi="Arial" w:cs="Arial"/>
                <w:b/>
                <w:sz w:val="22"/>
              </w:rPr>
              <w:tab/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395" w:type="dxa"/>
            <w:tcBorders>
              <w:left w:val="nil"/>
              <w:right w:val="nil"/>
            </w:tcBorders>
          </w:tcPr>
          <w:p w:rsidR="004704D4" w:rsidRPr="00B12E26" w:rsidRDefault="00B04BB2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color w:val="0000F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4D4" w:rsidRPr="00B12E26">
              <w:rPr>
                <w:rFonts w:ascii="Arial" w:hAnsi="Arial" w:cs="Arial"/>
                <w:color w:val="0000FF"/>
                <w:sz w:val="22"/>
              </w:rPr>
              <w:instrText xml:space="preserve"> FORMTEXT </w:instrText>
            </w:r>
            <w:r w:rsidRPr="00B12E26">
              <w:rPr>
                <w:rFonts w:ascii="Arial" w:hAnsi="Arial" w:cs="Arial"/>
                <w:color w:val="0000FF"/>
                <w:sz w:val="22"/>
              </w:rPr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separate"/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4704D4" w:rsidRPr="00B12E26" w:rsidTr="004F5688">
        <w:trPr>
          <w:trHeight w:val="176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righ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b/>
                <w:sz w:val="22"/>
              </w:rPr>
              <w:t>Contact No.</w:t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395" w:type="dxa"/>
            <w:tcBorders>
              <w:left w:val="nil"/>
              <w:right w:val="nil"/>
            </w:tcBorders>
          </w:tcPr>
          <w:p w:rsidR="004704D4" w:rsidRPr="00B12E26" w:rsidRDefault="00B04BB2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color w:val="0000F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4D4" w:rsidRPr="00B12E26">
              <w:rPr>
                <w:rFonts w:ascii="Arial" w:hAnsi="Arial" w:cs="Arial"/>
                <w:color w:val="0000FF"/>
                <w:sz w:val="22"/>
              </w:rPr>
              <w:instrText xml:space="preserve"> FORMTEXT </w:instrText>
            </w:r>
            <w:r w:rsidRPr="00B12E26">
              <w:rPr>
                <w:rFonts w:ascii="Arial" w:hAnsi="Arial" w:cs="Arial"/>
                <w:color w:val="0000FF"/>
                <w:sz w:val="22"/>
              </w:rPr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separate"/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  <w:tr w:rsidR="004704D4" w:rsidRPr="00B12E26" w:rsidTr="004F5688">
        <w:trPr>
          <w:trHeight w:val="176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right" w:pos="1080"/>
                <w:tab w:val="left" w:pos="2160"/>
                <w:tab w:val="left" w:pos="2340"/>
                <w:tab w:val="left" w:pos="2610"/>
                <w:tab w:val="left" w:pos="3420"/>
                <w:tab w:val="left" w:pos="3690"/>
              </w:tabs>
              <w:snapToGrid w:val="0"/>
              <w:rPr>
                <w:rFonts w:ascii="Arial" w:hAnsi="Arial" w:cs="Arial"/>
                <w:b/>
                <w:sz w:val="22"/>
              </w:rPr>
            </w:pPr>
            <w:r w:rsidRPr="00B12E26">
              <w:rPr>
                <w:rFonts w:ascii="Arial" w:hAnsi="Arial" w:cs="Arial"/>
                <w:b/>
                <w:sz w:val="22"/>
              </w:rPr>
              <w:t>Date</w:t>
            </w:r>
            <w:r w:rsidRPr="00B12E26">
              <w:rPr>
                <w:rFonts w:ascii="Arial" w:hAnsi="Arial" w:cs="Arial"/>
                <w:b/>
                <w:sz w:val="22"/>
              </w:rPr>
              <w:tab/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b/>
                <w:caps/>
                <w:sz w:val="22"/>
              </w:rPr>
              <w:t>:</w:t>
            </w:r>
          </w:p>
        </w:tc>
        <w:tc>
          <w:tcPr>
            <w:tcW w:w="4395" w:type="dxa"/>
            <w:tcBorders>
              <w:left w:val="nil"/>
              <w:right w:val="nil"/>
            </w:tcBorders>
          </w:tcPr>
          <w:p w:rsidR="004704D4" w:rsidRPr="00B12E26" w:rsidRDefault="00B04BB2" w:rsidP="000326F6">
            <w:pPr>
              <w:tabs>
                <w:tab w:val="left" w:pos="2610"/>
              </w:tabs>
              <w:snapToGrid w:val="0"/>
              <w:rPr>
                <w:rFonts w:ascii="Arial" w:hAnsi="Arial" w:cs="Arial"/>
                <w:b/>
                <w:caps/>
                <w:sz w:val="22"/>
              </w:rPr>
            </w:pPr>
            <w:r w:rsidRPr="00B12E26">
              <w:rPr>
                <w:rFonts w:ascii="Arial" w:hAnsi="Arial" w:cs="Arial"/>
                <w:color w:val="0000FF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704D4" w:rsidRPr="00B12E26">
              <w:rPr>
                <w:rFonts w:ascii="Arial" w:hAnsi="Arial" w:cs="Arial"/>
                <w:color w:val="0000FF"/>
                <w:sz w:val="22"/>
              </w:rPr>
              <w:instrText xml:space="preserve"> FORMTEXT </w:instrText>
            </w:r>
            <w:r w:rsidRPr="00B12E26">
              <w:rPr>
                <w:rFonts w:ascii="Arial" w:hAnsi="Arial" w:cs="Arial"/>
                <w:color w:val="0000FF"/>
                <w:sz w:val="22"/>
              </w:rPr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separate"/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="004704D4" w:rsidRPr="00B12E26">
              <w:rPr>
                <w:rFonts w:ascii="Arial" w:hAnsi="Arial" w:cs="Arial"/>
                <w:noProof/>
                <w:color w:val="0000FF"/>
                <w:sz w:val="22"/>
              </w:rPr>
              <w:t> </w:t>
            </w:r>
            <w:r w:rsidRPr="00B12E26">
              <w:rPr>
                <w:rFonts w:ascii="Arial" w:hAnsi="Arial" w:cs="Arial"/>
                <w:color w:val="0000FF"/>
                <w:sz w:val="22"/>
              </w:rP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04D4" w:rsidRPr="00B12E26" w:rsidRDefault="004704D4" w:rsidP="000326F6">
            <w:pPr>
              <w:tabs>
                <w:tab w:val="left" w:pos="6390"/>
                <w:tab w:val="left" w:pos="7200"/>
              </w:tabs>
              <w:snapToGrid w:val="0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E46FE" w:rsidRDefault="000E46FE" w:rsidP="000E46FE">
      <w:pPr>
        <w:spacing w:line="160" w:lineRule="exact"/>
        <w:jc w:val="both"/>
        <w:rPr>
          <w:rFonts w:ascii="Arial" w:hAnsi="Arial" w:cs="Arial"/>
          <w:sz w:val="16"/>
          <w:szCs w:val="16"/>
        </w:rPr>
      </w:pPr>
    </w:p>
    <w:p w:rsidR="000E46FE" w:rsidRDefault="000E46FE" w:rsidP="000E46FE">
      <w:pPr>
        <w:spacing w:line="160" w:lineRule="exact"/>
        <w:jc w:val="both"/>
        <w:rPr>
          <w:rFonts w:ascii="Arial" w:hAnsi="Arial" w:cs="Arial"/>
          <w:sz w:val="16"/>
          <w:szCs w:val="16"/>
        </w:rPr>
      </w:pPr>
    </w:p>
    <w:p w:rsidR="00561B53" w:rsidRDefault="00561B53" w:rsidP="000E46FE">
      <w:pPr>
        <w:spacing w:line="160" w:lineRule="exact"/>
        <w:jc w:val="both"/>
        <w:rPr>
          <w:rFonts w:ascii="Arial" w:hAnsi="Arial" w:cs="Arial"/>
          <w:sz w:val="16"/>
          <w:szCs w:val="16"/>
        </w:rPr>
      </w:pPr>
    </w:p>
    <w:p w:rsidR="00561B53" w:rsidRDefault="00561B53" w:rsidP="000E46FE">
      <w:pPr>
        <w:spacing w:line="160" w:lineRule="exact"/>
        <w:jc w:val="both"/>
        <w:rPr>
          <w:rFonts w:ascii="Arial" w:hAnsi="Arial" w:cs="Arial"/>
          <w:sz w:val="16"/>
          <w:szCs w:val="16"/>
        </w:rPr>
      </w:pPr>
    </w:p>
    <w:p w:rsidR="00A0277A" w:rsidRPr="00561B53" w:rsidRDefault="00A0277A" w:rsidP="00561B53">
      <w:pPr>
        <w:spacing w:line="160" w:lineRule="exact"/>
        <w:ind w:rightChars="-132" w:right="-317"/>
        <w:jc w:val="both"/>
        <w:rPr>
          <w:rFonts w:ascii="Arial" w:hAnsi="Arial" w:cs="Arial"/>
          <w:sz w:val="16"/>
          <w:szCs w:val="16"/>
          <w:u w:val="wave"/>
        </w:rPr>
      </w:pPr>
      <w:r w:rsidRPr="00561B53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0E46FE" w:rsidRPr="00561B53">
        <w:rPr>
          <w:rFonts w:ascii="Arial" w:hAnsi="Arial" w:cs="Arial"/>
          <w:sz w:val="16"/>
          <w:szCs w:val="16"/>
        </w:rPr>
        <w:t>-------------------------------------------------------------</w:t>
      </w:r>
      <w:r w:rsidR="00561B53">
        <w:rPr>
          <w:rFonts w:ascii="Arial" w:hAnsi="Arial" w:cs="Arial"/>
          <w:sz w:val="16"/>
          <w:szCs w:val="16"/>
        </w:rPr>
        <w:t>------</w:t>
      </w:r>
    </w:p>
    <w:p w:rsidR="00A0277A" w:rsidRPr="00561B53" w:rsidRDefault="00A0277A" w:rsidP="00561B53">
      <w:pPr>
        <w:spacing w:line="160" w:lineRule="exact"/>
        <w:ind w:rightChars="-73" w:right="-175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61B53">
        <w:rPr>
          <w:rFonts w:ascii="Arial" w:hAnsi="Arial" w:cs="Arial"/>
          <w:b/>
          <w:sz w:val="16"/>
          <w:szCs w:val="16"/>
          <w:u w:val="single"/>
        </w:rPr>
        <w:t>Personal Information Collection Statement</w:t>
      </w:r>
    </w:p>
    <w:p w:rsidR="00A0277A" w:rsidRPr="00561B53" w:rsidRDefault="00A0277A" w:rsidP="00561B53">
      <w:pPr>
        <w:spacing w:line="160" w:lineRule="exact"/>
        <w:ind w:rightChars="-73" w:right="-175"/>
        <w:jc w:val="both"/>
        <w:rPr>
          <w:rFonts w:ascii="Arial" w:hAnsi="Arial" w:cs="Arial"/>
          <w:sz w:val="16"/>
          <w:szCs w:val="16"/>
        </w:rPr>
      </w:pPr>
      <w:r w:rsidRPr="00561B53">
        <w:rPr>
          <w:rFonts w:ascii="Arial" w:hAnsi="Arial" w:cs="Arial"/>
          <w:sz w:val="16"/>
          <w:szCs w:val="16"/>
          <w:lang w:eastAsia="zh-CN"/>
        </w:rPr>
        <w:t>“</w:t>
      </w:r>
      <w:r w:rsidRPr="00561B53">
        <w:rPr>
          <w:rFonts w:ascii="Arial" w:hAnsi="Arial" w:cs="Arial"/>
          <w:sz w:val="16"/>
          <w:szCs w:val="16"/>
        </w:rPr>
        <w:t>Personal Data” in this statement has the same meaning as “personal data” in the Personal Data (Privacy) Ordinance, Cap 486 of the Laws of Hong Kong (“PDPO”).</w:t>
      </w:r>
    </w:p>
    <w:p w:rsidR="00A0277A" w:rsidRPr="00561B53" w:rsidRDefault="00A0277A" w:rsidP="00561B53">
      <w:pPr>
        <w:spacing w:line="160" w:lineRule="exact"/>
        <w:ind w:rightChars="-73" w:right="-175"/>
        <w:jc w:val="both"/>
        <w:rPr>
          <w:rFonts w:ascii="Arial" w:hAnsi="Arial" w:cs="Arial"/>
          <w:sz w:val="16"/>
          <w:szCs w:val="16"/>
        </w:rPr>
      </w:pPr>
      <w:r w:rsidRPr="00561B53">
        <w:rPr>
          <w:rFonts w:ascii="Arial" w:hAnsi="Arial" w:cs="Arial"/>
          <w:sz w:val="16"/>
          <w:szCs w:val="16"/>
        </w:rPr>
        <w:t>The personal data collected on this form will be used solely for the purpose of the enrollment and be retained for such period as may be necessary for our verification and record purposes.</w:t>
      </w:r>
    </w:p>
    <w:p w:rsidR="00A0277A" w:rsidRPr="00561B53" w:rsidRDefault="00A0277A" w:rsidP="00561B53">
      <w:pPr>
        <w:spacing w:line="160" w:lineRule="exact"/>
        <w:ind w:rightChars="-73" w:right="-175"/>
        <w:jc w:val="both"/>
        <w:rPr>
          <w:rFonts w:ascii="Arial" w:hAnsi="Arial" w:cs="Arial"/>
          <w:sz w:val="16"/>
          <w:szCs w:val="16"/>
        </w:rPr>
      </w:pPr>
      <w:r w:rsidRPr="00561B53">
        <w:rPr>
          <w:rFonts w:ascii="Arial" w:hAnsi="Arial" w:cs="Arial"/>
          <w:sz w:val="16"/>
          <w:szCs w:val="16"/>
        </w:rPr>
        <w:t>Please refer to the HKEX’s Privacy Policy Statement which is available on the HKEX website (</w:t>
      </w:r>
      <w:hyperlink r:id="rId13" w:history="1">
        <w:r w:rsidRPr="00561B53">
          <w:rPr>
            <w:rStyle w:val="Hyperlink"/>
            <w:rFonts w:ascii="Arial" w:hAnsi="Arial" w:cs="Arial"/>
            <w:sz w:val="16"/>
            <w:szCs w:val="16"/>
          </w:rPr>
          <w:t>www.hkex.com.hk</w:t>
        </w:r>
      </w:hyperlink>
      <w:r w:rsidRPr="00561B53">
        <w:rPr>
          <w:rFonts w:ascii="Arial" w:hAnsi="Arial" w:cs="Arial"/>
          <w:sz w:val="16"/>
          <w:szCs w:val="16"/>
        </w:rPr>
        <w:t>) for further details.</w:t>
      </w:r>
    </w:p>
    <w:p w:rsidR="00A0277A" w:rsidRPr="00561B53" w:rsidRDefault="000E46FE" w:rsidP="00561B53">
      <w:pPr>
        <w:spacing w:line="160" w:lineRule="exact"/>
        <w:ind w:rightChars="-132" w:right="-317"/>
        <w:jc w:val="both"/>
        <w:rPr>
          <w:rFonts w:ascii="Arial" w:hAnsi="Arial" w:cs="Arial"/>
          <w:sz w:val="16"/>
          <w:szCs w:val="16"/>
          <w:u w:val="wave"/>
        </w:rPr>
      </w:pPr>
      <w:r w:rsidRPr="00561B53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--------------------------------------------------------------------------------------------------------------------------------------------------------------------------------------</w:t>
      </w:r>
      <w:r w:rsidR="00561B53">
        <w:rPr>
          <w:rFonts w:ascii="Arial" w:hAnsi="Arial" w:cs="Arial"/>
          <w:sz w:val="16"/>
          <w:szCs w:val="16"/>
        </w:rPr>
        <w:t>------</w:t>
      </w:r>
    </w:p>
    <w:sectPr w:rsidR="00A0277A" w:rsidRPr="00561B53" w:rsidSect="00561B53">
      <w:headerReference w:type="default" r:id="rId14"/>
      <w:footerReference w:type="default" r:id="rId15"/>
      <w:pgSz w:w="11906" w:h="16838"/>
      <w:pgMar w:top="1440" w:right="1080" w:bottom="1135" w:left="1080" w:header="851" w:footer="6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EA" w:rsidRDefault="002A00EA" w:rsidP="008D432C">
      <w:r>
        <w:separator/>
      </w:r>
    </w:p>
  </w:endnote>
  <w:endnote w:type="continuationSeparator" w:id="0">
    <w:p w:rsidR="002A00EA" w:rsidRDefault="002A00EA" w:rsidP="008D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32C" w:rsidRPr="004F5688" w:rsidRDefault="00966737" w:rsidP="00966737">
    <w:pPr>
      <w:pStyle w:val="Footer"/>
      <w:tabs>
        <w:tab w:val="clear" w:pos="4153"/>
        <w:tab w:val="clear" w:pos="8306"/>
        <w:tab w:val="right" w:pos="5103"/>
      </w:tabs>
      <w:rPr>
        <w:rFonts w:ascii="Arial" w:hAnsi="Arial" w:cs="Arial"/>
        <w:sz w:val="18"/>
        <w:szCs w:val="18"/>
      </w:rPr>
    </w:pPr>
    <w:r w:rsidRPr="004F5688">
      <w:rPr>
        <w:rFonts w:ascii="Arial" w:hAnsi="Arial" w:cs="Arial"/>
        <w:sz w:val="18"/>
        <w:szCs w:val="18"/>
      </w:rPr>
      <w:t>V201</w:t>
    </w:r>
    <w:r w:rsidR="001C1B6E">
      <w:rPr>
        <w:rFonts w:ascii="Arial" w:hAnsi="Arial" w:cs="Arial"/>
        <w:sz w:val="18"/>
        <w:szCs w:val="18"/>
      </w:rPr>
      <w:t>6-11</w:t>
    </w:r>
    <w:r w:rsidRPr="004F5688">
      <w:rPr>
        <w:rFonts w:ascii="Arial" w:hAnsi="Arial" w:cs="Arial"/>
        <w:sz w:val="18"/>
        <w:szCs w:val="18"/>
      </w:rPr>
      <w:tab/>
    </w:r>
    <w:r w:rsidR="00B04BB2" w:rsidRPr="004F5688">
      <w:rPr>
        <w:rFonts w:ascii="Arial" w:hAnsi="Arial" w:cs="Arial"/>
        <w:sz w:val="18"/>
        <w:szCs w:val="18"/>
      </w:rPr>
      <w:fldChar w:fldCharType="begin"/>
    </w:r>
    <w:r w:rsidR="008D432C" w:rsidRPr="004F5688">
      <w:rPr>
        <w:rFonts w:ascii="Arial" w:hAnsi="Arial" w:cs="Arial"/>
        <w:sz w:val="18"/>
        <w:szCs w:val="18"/>
      </w:rPr>
      <w:instrText xml:space="preserve"> PAGE   \* MERGEFORMAT </w:instrText>
    </w:r>
    <w:r w:rsidR="00B04BB2" w:rsidRPr="004F5688">
      <w:rPr>
        <w:rFonts w:ascii="Arial" w:hAnsi="Arial" w:cs="Arial"/>
        <w:sz w:val="18"/>
        <w:szCs w:val="18"/>
      </w:rPr>
      <w:fldChar w:fldCharType="separate"/>
    </w:r>
    <w:r w:rsidR="00626B2C">
      <w:rPr>
        <w:rFonts w:ascii="Arial" w:hAnsi="Arial" w:cs="Arial"/>
        <w:noProof/>
        <w:sz w:val="18"/>
        <w:szCs w:val="18"/>
      </w:rPr>
      <w:t>1</w:t>
    </w:r>
    <w:r w:rsidR="00B04BB2" w:rsidRPr="004F5688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EA" w:rsidRDefault="002A00EA" w:rsidP="008D432C">
      <w:r>
        <w:separator/>
      </w:r>
    </w:p>
  </w:footnote>
  <w:footnote w:type="continuationSeparator" w:id="0">
    <w:p w:rsidR="002A00EA" w:rsidRDefault="002A00EA" w:rsidP="008D4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4E" w:rsidRDefault="0001074E" w:rsidP="0001074E">
    <w:pPr>
      <w:pStyle w:val="Header"/>
    </w:pPr>
    <w:r w:rsidRPr="00912F1B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EACBCDE" wp14:editId="53D682C3">
          <wp:simplePos x="0" y="0"/>
          <wp:positionH relativeFrom="column">
            <wp:posOffset>-314960</wp:posOffset>
          </wp:positionH>
          <wp:positionV relativeFrom="paragraph">
            <wp:posOffset>-174625</wp:posOffset>
          </wp:positionV>
          <wp:extent cx="1821180" cy="740410"/>
          <wp:effectExtent l="0" t="0" r="762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KEX_Logo_Panton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47" b="18627"/>
                  <a:stretch/>
                </pic:blipFill>
                <pic:spPr bwMode="auto">
                  <a:xfrm>
                    <a:off x="0" y="0"/>
                    <a:ext cx="1821180" cy="740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074E" w:rsidRDefault="0001074E">
    <w:pPr>
      <w:pStyle w:val="Header"/>
    </w:pPr>
  </w:p>
  <w:p w:rsidR="0001074E" w:rsidRDefault="0001074E">
    <w:pPr>
      <w:pStyle w:val="Header"/>
    </w:pPr>
  </w:p>
  <w:p w:rsidR="0001074E" w:rsidRDefault="0001074E" w:rsidP="004F5688">
    <w:pPr>
      <w:pStyle w:val="Header"/>
      <w:rPr>
        <w:rFonts w:ascii="Arial" w:eastAsia="微軟正黑體" w:hAnsi="Arial" w:cs="Arial"/>
        <w:noProof/>
      </w:rPr>
    </w:pPr>
  </w:p>
  <w:p w:rsidR="0001074E" w:rsidRPr="00FB099B" w:rsidRDefault="0001074E" w:rsidP="004F5688">
    <w:pPr>
      <w:pStyle w:val="Header"/>
      <w:rPr>
        <w:rFonts w:ascii="Arial" w:eastAsia="微軟正黑體" w:hAnsi="Arial" w:cs="Arial"/>
        <w:noProof/>
      </w:rPr>
    </w:pPr>
    <w:r w:rsidRPr="00FB099B">
      <w:rPr>
        <w:rFonts w:ascii="Arial" w:eastAsia="微軟正黑體" w:hAnsi="Arial" w:cs="Arial"/>
        <w:noProof/>
      </w:rPr>
      <w:t>HKEX INFORMATION SERVICES LIMITED</w:t>
    </w:r>
  </w:p>
  <w:p w:rsidR="0001074E" w:rsidRPr="00AF0F6A" w:rsidRDefault="0001074E">
    <w:pPr>
      <w:pStyle w:val="Header"/>
      <w:rPr>
        <w:rFonts w:ascii="Arial" w:eastAsia="SimSun" w:hAnsi="Arial" w:cs="Arial"/>
      </w:rPr>
    </w:pPr>
    <w:r w:rsidRPr="00FB099B">
      <w:rPr>
        <w:rFonts w:ascii="Arial" w:eastAsia="微軟正黑體" w:hAnsi="Arial" w:cs="Arial"/>
        <w:noProof/>
        <w:sz w:val="16"/>
        <w:szCs w:val="16"/>
      </w:rPr>
      <w:t>(A wholly-owned member of the Hong Kong Exchanges and Clearing Limited Group)</w:t>
    </w:r>
  </w:p>
  <w:p w:rsidR="007517C2" w:rsidRPr="0001074E" w:rsidRDefault="007517C2" w:rsidP="004F5688">
    <w:pPr>
      <w:pStyle w:val="Header"/>
      <w:ind w:right="200"/>
      <w:rPr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4BDD"/>
    <w:multiLevelType w:val="hybridMultilevel"/>
    <w:tmpl w:val="B61027EC"/>
    <w:lvl w:ilvl="0" w:tplc="695084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8639EE"/>
    <w:multiLevelType w:val="hybridMultilevel"/>
    <w:tmpl w:val="3F480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4HJe2nlBg6GPWgsYLMMcW222Mrc=" w:salt="NMANRnoB435eJr0MmYTDy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E7"/>
    <w:rsid w:val="0001074E"/>
    <w:rsid w:val="000137D0"/>
    <w:rsid w:val="000326F6"/>
    <w:rsid w:val="0005046C"/>
    <w:rsid w:val="00051BD9"/>
    <w:rsid w:val="00053A51"/>
    <w:rsid w:val="00053D25"/>
    <w:rsid w:val="0005799C"/>
    <w:rsid w:val="00061CDE"/>
    <w:rsid w:val="000A2869"/>
    <w:rsid w:val="000A633F"/>
    <w:rsid w:val="000A63D1"/>
    <w:rsid w:val="000B2F6A"/>
    <w:rsid w:val="000B5B8D"/>
    <w:rsid w:val="000C6428"/>
    <w:rsid w:val="000D173B"/>
    <w:rsid w:val="000D49FA"/>
    <w:rsid w:val="000E0A4E"/>
    <w:rsid w:val="000E0E71"/>
    <w:rsid w:val="000E2264"/>
    <w:rsid w:val="000E3ECC"/>
    <w:rsid w:val="000E46FE"/>
    <w:rsid w:val="000F16B0"/>
    <w:rsid w:val="000F6F7F"/>
    <w:rsid w:val="000F75F5"/>
    <w:rsid w:val="00103D2E"/>
    <w:rsid w:val="00117B8C"/>
    <w:rsid w:val="001204F9"/>
    <w:rsid w:val="001230BC"/>
    <w:rsid w:val="00146C69"/>
    <w:rsid w:val="00162B35"/>
    <w:rsid w:val="001754D9"/>
    <w:rsid w:val="00186834"/>
    <w:rsid w:val="00194F23"/>
    <w:rsid w:val="001A0AAC"/>
    <w:rsid w:val="001A3825"/>
    <w:rsid w:val="001C01E3"/>
    <w:rsid w:val="001C1B6E"/>
    <w:rsid w:val="002023FB"/>
    <w:rsid w:val="002506F6"/>
    <w:rsid w:val="00252EBC"/>
    <w:rsid w:val="00254D5B"/>
    <w:rsid w:val="00263B5B"/>
    <w:rsid w:val="00272764"/>
    <w:rsid w:val="002728C0"/>
    <w:rsid w:val="00282D86"/>
    <w:rsid w:val="00283757"/>
    <w:rsid w:val="00290250"/>
    <w:rsid w:val="00293C6F"/>
    <w:rsid w:val="002A00EA"/>
    <w:rsid w:val="002A0AF3"/>
    <w:rsid w:val="002A3971"/>
    <w:rsid w:val="002C0A6C"/>
    <w:rsid w:val="002C0D5E"/>
    <w:rsid w:val="002C4117"/>
    <w:rsid w:val="002D2167"/>
    <w:rsid w:val="002F647A"/>
    <w:rsid w:val="00307D7B"/>
    <w:rsid w:val="003113F8"/>
    <w:rsid w:val="003133E1"/>
    <w:rsid w:val="003137B7"/>
    <w:rsid w:val="00324176"/>
    <w:rsid w:val="0033490D"/>
    <w:rsid w:val="00346579"/>
    <w:rsid w:val="00383665"/>
    <w:rsid w:val="00385E9C"/>
    <w:rsid w:val="0039233D"/>
    <w:rsid w:val="003A5A7C"/>
    <w:rsid w:val="003A7BF6"/>
    <w:rsid w:val="003B13DB"/>
    <w:rsid w:val="003B4C0B"/>
    <w:rsid w:val="003E6A24"/>
    <w:rsid w:val="003F3AA1"/>
    <w:rsid w:val="00434D48"/>
    <w:rsid w:val="00454215"/>
    <w:rsid w:val="00456061"/>
    <w:rsid w:val="00457B88"/>
    <w:rsid w:val="00462102"/>
    <w:rsid w:val="004704D4"/>
    <w:rsid w:val="0048099D"/>
    <w:rsid w:val="00485C5B"/>
    <w:rsid w:val="00492337"/>
    <w:rsid w:val="00492FA9"/>
    <w:rsid w:val="00495992"/>
    <w:rsid w:val="004A3421"/>
    <w:rsid w:val="004A445E"/>
    <w:rsid w:val="004B1B26"/>
    <w:rsid w:val="004B2FF4"/>
    <w:rsid w:val="004B6848"/>
    <w:rsid w:val="004C03A2"/>
    <w:rsid w:val="004C0A1A"/>
    <w:rsid w:val="004C3920"/>
    <w:rsid w:val="004D6A22"/>
    <w:rsid w:val="004F1A45"/>
    <w:rsid w:val="004F5688"/>
    <w:rsid w:val="00502B67"/>
    <w:rsid w:val="00512251"/>
    <w:rsid w:val="00550C29"/>
    <w:rsid w:val="005605B4"/>
    <w:rsid w:val="00561B53"/>
    <w:rsid w:val="005666B4"/>
    <w:rsid w:val="00570CDD"/>
    <w:rsid w:val="0058647C"/>
    <w:rsid w:val="0058695B"/>
    <w:rsid w:val="005A3B67"/>
    <w:rsid w:val="005B0610"/>
    <w:rsid w:val="005B68BD"/>
    <w:rsid w:val="005C2350"/>
    <w:rsid w:val="005D56AD"/>
    <w:rsid w:val="00600BC2"/>
    <w:rsid w:val="00601AD3"/>
    <w:rsid w:val="0061524E"/>
    <w:rsid w:val="00626B2C"/>
    <w:rsid w:val="00632636"/>
    <w:rsid w:val="00634F04"/>
    <w:rsid w:val="00670C76"/>
    <w:rsid w:val="00677498"/>
    <w:rsid w:val="00681946"/>
    <w:rsid w:val="00690C1A"/>
    <w:rsid w:val="00696C01"/>
    <w:rsid w:val="006A5AA8"/>
    <w:rsid w:val="006C2B35"/>
    <w:rsid w:val="006C34CD"/>
    <w:rsid w:val="006D2CA9"/>
    <w:rsid w:val="006D681C"/>
    <w:rsid w:val="006D79F0"/>
    <w:rsid w:val="006F7042"/>
    <w:rsid w:val="00703CA5"/>
    <w:rsid w:val="007203B0"/>
    <w:rsid w:val="00727C03"/>
    <w:rsid w:val="007369CB"/>
    <w:rsid w:val="00743C1F"/>
    <w:rsid w:val="007517C2"/>
    <w:rsid w:val="007711F9"/>
    <w:rsid w:val="00793215"/>
    <w:rsid w:val="007A471C"/>
    <w:rsid w:val="007B3979"/>
    <w:rsid w:val="007C51E6"/>
    <w:rsid w:val="007C761A"/>
    <w:rsid w:val="007D780C"/>
    <w:rsid w:val="007F569F"/>
    <w:rsid w:val="00811331"/>
    <w:rsid w:val="0082086D"/>
    <w:rsid w:val="00822C15"/>
    <w:rsid w:val="00840C3D"/>
    <w:rsid w:val="008554DE"/>
    <w:rsid w:val="008614C7"/>
    <w:rsid w:val="0088696F"/>
    <w:rsid w:val="00890687"/>
    <w:rsid w:val="008A5264"/>
    <w:rsid w:val="008C1867"/>
    <w:rsid w:val="008C1C1C"/>
    <w:rsid w:val="008D432C"/>
    <w:rsid w:val="008F1C29"/>
    <w:rsid w:val="008F27E6"/>
    <w:rsid w:val="009140F4"/>
    <w:rsid w:val="00922A99"/>
    <w:rsid w:val="009369D1"/>
    <w:rsid w:val="00946F94"/>
    <w:rsid w:val="00951FCA"/>
    <w:rsid w:val="00957A1E"/>
    <w:rsid w:val="009603D9"/>
    <w:rsid w:val="00966737"/>
    <w:rsid w:val="00966F98"/>
    <w:rsid w:val="0099363B"/>
    <w:rsid w:val="00995D9B"/>
    <w:rsid w:val="009B7100"/>
    <w:rsid w:val="009D16B4"/>
    <w:rsid w:val="009D5787"/>
    <w:rsid w:val="00A0277A"/>
    <w:rsid w:val="00A043FA"/>
    <w:rsid w:val="00A548E4"/>
    <w:rsid w:val="00A6034B"/>
    <w:rsid w:val="00AB3D02"/>
    <w:rsid w:val="00AB69FA"/>
    <w:rsid w:val="00AC0BD2"/>
    <w:rsid w:val="00AC1262"/>
    <w:rsid w:val="00AC1C94"/>
    <w:rsid w:val="00AC4D1E"/>
    <w:rsid w:val="00AD29EF"/>
    <w:rsid w:val="00AD4B49"/>
    <w:rsid w:val="00AE0826"/>
    <w:rsid w:val="00AE0B7E"/>
    <w:rsid w:val="00AE18FA"/>
    <w:rsid w:val="00AF25E2"/>
    <w:rsid w:val="00AF4D03"/>
    <w:rsid w:val="00B04BB2"/>
    <w:rsid w:val="00B074EA"/>
    <w:rsid w:val="00B12E26"/>
    <w:rsid w:val="00B21617"/>
    <w:rsid w:val="00B30F04"/>
    <w:rsid w:val="00B37AD7"/>
    <w:rsid w:val="00B435FD"/>
    <w:rsid w:val="00B46310"/>
    <w:rsid w:val="00B523DC"/>
    <w:rsid w:val="00B61676"/>
    <w:rsid w:val="00BA1D34"/>
    <w:rsid w:val="00BA3953"/>
    <w:rsid w:val="00BC063E"/>
    <w:rsid w:val="00BD0BCA"/>
    <w:rsid w:val="00BD5BEE"/>
    <w:rsid w:val="00BF2C35"/>
    <w:rsid w:val="00BF7D95"/>
    <w:rsid w:val="00C009FA"/>
    <w:rsid w:val="00C13C28"/>
    <w:rsid w:val="00C210F2"/>
    <w:rsid w:val="00C241E7"/>
    <w:rsid w:val="00C24B8C"/>
    <w:rsid w:val="00C329F9"/>
    <w:rsid w:val="00C3438D"/>
    <w:rsid w:val="00C37563"/>
    <w:rsid w:val="00C43B83"/>
    <w:rsid w:val="00C476A6"/>
    <w:rsid w:val="00C71365"/>
    <w:rsid w:val="00C72764"/>
    <w:rsid w:val="00C82841"/>
    <w:rsid w:val="00C90627"/>
    <w:rsid w:val="00CA5CF1"/>
    <w:rsid w:val="00CB021B"/>
    <w:rsid w:val="00CB2B81"/>
    <w:rsid w:val="00CB5EA5"/>
    <w:rsid w:val="00CD4A26"/>
    <w:rsid w:val="00CF2990"/>
    <w:rsid w:val="00CF5139"/>
    <w:rsid w:val="00D11842"/>
    <w:rsid w:val="00D2392F"/>
    <w:rsid w:val="00D410B3"/>
    <w:rsid w:val="00D41BEA"/>
    <w:rsid w:val="00D54E4D"/>
    <w:rsid w:val="00D57E6C"/>
    <w:rsid w:val="00D65914"/>
    <w:rsid w:val="00D73CF7"/>
    <w:rsid w:val="00D85CF1"/>
    <w:rsid w:val="00D9241B"/>
    <w:rsid w:val="00D96177"/>
    <w:rsid w:val="00DE2CA1"/>
    <w:rsid w:val="00DF45CC"/>
    <w:rsid w:val="00DF5735"/>
    <w:rsid w:val="00E02108"/>
    <w:rsid w:val="00E14227"/>
    <w:rsid w:val="00E315AE"/>
    <w:rsid w:val="00E42F0D"/>
    <w:rsid w:val="00E44AD4"/>
    <w:rsid w:val="00E73BA0"/>
    <w:rsid w:val="00E73C56"/>
    <w:rsid w:val="00E73EFF"/>
    <w:rsid w:val="00E8326C"/>
    <w:rsid w:val="00E92E8B"/>
    <w:rsid w:val="00EA5D40"/>
    <w:rsid w:val="00EB3977"/>
    <w:rsid w:val="00EB5ADE"/>
    <w:rsid w:val="00EC2684"/>
    <w:rsid w:val="00EC5C96"/>
    <w:rsid w:val="00EC724D"/>
    <w:rsid w:val="00F06261"/>
    <w:rsid w:val="00F33EAD"/>
    <w:rsid w:val="00F35FCD"/>
    <w:rsid w:val="00F369B8"/>
    <w:rsid w:val="00F61BAE"/>
    <w:rsid w:val="00F645D3"/>
    <w:rsid w:val="00F65F44"/>
    <w:rsid w:val="00F725B0"/>
    <w:rsid w:val="00F7528F"/>
    <w:rsid w:val="00F76B33"/>
    <w:rsid w:val="00F841F6"/>
    <w:rsid w:val="00F96653"/>
    <w:rsid w:val="00FA06F6"/>
    <w:rsid w:val="00FA11B9"/>
    <w:rsid w:val="00FA2A8D"/>
    <w:rsid w:val="00FB0219"/>
    <w:rsid w:val="00FB55A5"/>
    <w:rsid w:val="00FD1EAB"/>
    <w:rsid w:val="00F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E7"/>
    <w:pPr>
      <w:widowControl w:val="0"/>
    </w:pPr>
    <w:rPr>
      <w:rFonts w:ascii="Times New Roman" w:eastAsia="新細明體" w:hAnsi="Times New Roman" w:cs="Angsana New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41E7"/>
    <w:rPr>
      <w:color w:val="0000FF"/>
      <w:u w:val="single"/>
    </w:rPr>
  </w:style>
  <w:style w:type="paragraph" w:styleId="BodyText3">
    <w:name w:val="Body Text 3"/>
    <w:basedOn w:val="Normal"/>
    <w:link w:val="BodyText3Char"/>
    <w:rsid w:val="00C241E7"/>
    <w:pPr>
      <w:tabs>
        <w:tab w:val="left" w:pos="5520"/>
      </w:tabs>
      <w:jc w:val="both"/>
    </w:pPr>
    <w:rPr>
      <w:rFonts w:cs="Times New Roman"/>
      <w:spacing w:val="2"/>
      <w:sz w:val="20"/>
      <w:szCs w:val="20"/>
    </w:rPr>
  </w:style>
  <w:style w:type="character" w:customStyle="1" w:styleId="BodyText3Char">
    <w:name w:val="Body Text 3 Char"/>
    <w:link w:val="BodyText3"/>
    <w:rsid w:val="00C241E7"/>
    <w:rPr>
      <w:rFonts w:ascii="Times New Roman" w:eastAsia="新細明體" w:hAnsi="Times New Roman" w:cs="Times New Roman"/>
      <w:spacing w:val="2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241E7"/>
    <w:rPr>
      <w:sz w:val="16"/>
      <w:szCs w:val="16"/>
    </w:rPr>
  </w:style>
  <w:style w:type="table" w:styleId="TableGrid">
    <w:name w:val="Table Grid"/>
    <w:basedOn w:val="TableNormal"/>
    <w:rsid w:val="00C241E7"/>
    <w:pPr>
      <w:widowControl w:val="0"/>
    </w:pPr>
    <w:rPr>
      <w:rFonts w:ascii="Times New Roman" w:eastAsia="新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D432C"/>
    <w:rPr>
      <w:rFonts w:ascii="Times New Roman" w:eastAsia="新細明體" w:hAnsi="Times New Roman" w:cs="Angsana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4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D432C"/>
    <w:rPr>
      <w:rFonts w:ascii="Times New Roman" w:eastAsia="新細明體" w:hAnsi="Times New Roman" w:cs="Angsana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93C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7C2"/>
    <w:rPr>
      <w:rFonts w:ascii="Cambria" w:eastAsia="SimSun" w:hAnsi="Cambri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7C2"/>
    <w:rPr>
      <w:rFonts w:ascii="Cambria" w:eastAsia="SimSun" w:hAnsi="Cambri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E7"/>
    <w:pPr>
      <w:widowControl w:val="0"/>
    </w:pPr>
    <w:rPr>
      <w:rFonts w:ascii="Times New Roman" w:eastAsia="新細明體" w:hAnsi="Times New Roman" w:cs="Angsana New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41E7"/>
    <w:rPr>
      <w:color w:val="0000FF"/>
      <w:u w:val="single"/>
    </w:rPr>
  </w:style>
  <w:style w:type="paragraph" w:styleId="BodyText3">
    <w:name w:val="Body Text 3"/>
    <w:basedOn w:val="Normal"/>
    <w:link w:val="BodyText3Char"/>
    <w:rsid w:val="00C241E7"/>
    <w:pPr>
      <w:tabs>
        <w:tab w:val="left" w:pos="5520"/>
      </w:tabs>
      <w:jc w:val="both"/>
    </w:pPr>
    <w:rPr>
      <w:rFonts w:cs="Times New Roman"/>
      <w:spacing w:val="2"/>
      <w:sz w:val="20"/>
      <w:szCs w:val="20"/>
    </w:rPr>
  </w:style>
  <w:style w:type="character" w:customStyle="1" w:styleId="BodyText3Char">
    <w:name w:val="Body Text 3 Char"/>
    <w:link w:val="BodyText3"/>
    <w:rsid w:val="00C241E7"/>
    <w:rPr>
      <w:rFonts w:ascii="Times New Roman" w:eastAsia="新細明體" w:hAnsi="Times New Roman" w:cs="Times New Roman"/>
      <w:spacing w:val="2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241E7"/>
    <w:rPr>
      <w:sz w:val="16"/>
      <w:szCs w:val="16"/>
    </w:rPr>
  </w:style>
  <w:style w:type="table" w:styleId="TableGrid">
    <w:name w:val="Table Grid"/>
    <w:basedOn w:val="TableNormal"/>
    <w:rsid w:val="00C241E7"/>
    <w:pPr>
      <w:widowControl w:val="0"/>
    </w:pPr>
    <w:rPr>
      <w:rFonts w:ascii="Times New Roman" w:eastAsia="新細明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D432C"/>
    <w:rPr>
      <w:rFonts w:ascii="Times New Roman" w:eastAsia="新細明體" w:hAnsi="Times New Roman" w:cs="Angsana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43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D432C"/>
    <w:rPr>
      <w:rFonts w:ascii="Times New Roman" w:eastAsia="新細明體" w:hAnsi="Times New Roman" w:cs="Angsana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93C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7C2"/>
    <w:rPr>
      <w:rFonts w:ascii="Cambria" w:eastAsia="SimSun" w:hAnsi="Cambri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17C2"/>
    <w:rPr>
      <w:rFonts w:ascii="Cambria" w:eastAsia="SimSun" w:hAnsi="Cambri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09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7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4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51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89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996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5625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585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692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200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923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45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807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3332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1834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446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6290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9660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63688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3501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2865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7979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51074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26585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74551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65520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57998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7493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586817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14092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88802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659918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859818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370668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1733394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357766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301254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597469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876931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484852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8488002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419977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346477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319709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452744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6442189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5155855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0513458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92815397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390930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6402970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049955143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0646592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55893208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622911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30927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109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3395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981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786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1494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2592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741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9505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024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034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8550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505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2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5733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6411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82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5529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472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5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0120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5644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580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784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9800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3195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0515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083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866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1779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702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5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39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344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787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0264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511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7762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5113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938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157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103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1211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66256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9639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883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280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67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269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849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994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622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3891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3024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5167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416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966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431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2089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588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0445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078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820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987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1485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157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46519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4760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4210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2870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776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919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126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1058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39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1608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449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4102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0026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35713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146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481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2695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84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87494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2487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18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29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128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01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5144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297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8859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9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79175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735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27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3963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3265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274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2863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67036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7574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758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2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4566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293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071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8510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5810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177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6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8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1151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964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342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394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590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7127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8269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25786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155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021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152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86647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135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831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52702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64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6434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2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3244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773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1617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049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755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6775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246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0695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229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63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129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839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92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96755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94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410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5623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055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62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4692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0557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5230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498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1201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9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0600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8937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9335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448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450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93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626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77448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488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4950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023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8354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1364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6054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567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4993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22615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031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659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3528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318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735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7383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740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411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0994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99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111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3205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250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411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27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626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478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390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3293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251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249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96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47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9260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918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3554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133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9729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247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3653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233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3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144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1020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1280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614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436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2483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291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024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4276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13504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2778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129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8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47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884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988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497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633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024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757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6285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6735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3944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429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466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4194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4854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5894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05727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290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753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764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590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174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5508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851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4423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17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4738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5938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8489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3878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0690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355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962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832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7321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8553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0012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66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542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15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0296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007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75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797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350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988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104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31299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2637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57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84580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6429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96684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2681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4049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87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hkex.com.h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VSupport@hkex.com.h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3E9C226CA064B90F81B0B98899F32" ma:contentTypeVersion="2" ma:contentTypeDescription="Create a new document." ma:contentTypeScope="" ma:versionID="f99982309b046099f7559be912c8dbc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680de0975ba91123087977034491b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95F1587-D198-4DF1-B44C-B21FD62D5806}"/>
</file>

<file path=customXml/itemProps2.xml><?xml version="1.0" encoding="utf-8"?>
<ds:datastoreItem xmlns:ds="http://schemas.openxmlformats.org/officeDocument/2006/customXml" ds:itemID="{0E7F36B0-F4F7-4BD5-A905-69193E60517B}"/>
</file>

<file path=customXml/itemProps3.xml><?xml version="1.0" encoding="utf-8"?>
<ds:datastoreItem xmlns:ds="http://schemas.openxmlformats.org/officeDocument/2006/customXml" ds:itemID="{5B3E17F2-C307-444C-8D18-52994386FD06}"/>
</file>

<file path=customXml/itemProps4.xml><?xml version="1.0" encoding="utf-8"?>
<ds:datastoreItem xmlns:ds="http://schemas.openxmlformats.org/officeDocument/2006/customXml" ds:itemID="{C3E3A57C-ACFB-4530-ACB7-2E2FDEB294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Links>
    <vt:vector size="6" baseType="variant">
      <vt:variant>
        <vt:i4>1704062</vt:i4>
      </vt:variant>
      <vt:variant>
        <vt:i4>6</vt:i4>
      </vt:variant>
      <vt:variant>
        <vt:i4>0</vt:i4>
      </vt:variant>
      <vt:variant>
        <vt:i4>5</vt:i4>
      </vt:variant>
      <vt:variant>
        <vt:lpwstr>mailto:IVSupport@hkex.com.hk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 Huen</dc:creator>
  <cp:lastModifiedBy>Iris WK cheung</cp:lastModifiedBy>
  <cp:revision>15</cp:revision>
  <cp:lastPrinted>2013-04-24T04:39:00Z</cp:lastPrinted>
  <dcterms:created xsi:type="dcterms:W3CDTF">2016-11-02T09:26:00Z</dcterms:created>
  <dcterms:modified xsi:type="dcterms:W3CDTF">2016-11-07T02:40:00Z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0x010100B593E9C226CA064B90F81B0B98899F32</vt:lpwstr>
  </property>
</Properties>
</file>